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F69C8">
      <w:pPr>
        <w:spacing w:line="300" w:lineRule="exact"/>
        <w:jc w:val="center"/>
        <w:rPr>
          <w:sz w:val="26"/>
        </w:rPr>
      </w:pPr>
      <w:r>
        <w:rPr>
          <w:sz w:val="26"/>
        </w:rPr>
        <w:t>PROTOCOL AGAINST THE ILLICIT MANUFACTURING OF</w:t>
      </w:r>
      <w:r>
        <w:rPr>
          <w:sz w:val="26"/>
        </w:rPr>
        <w:br/>
        <w:t>AND TRAFFICKING IN FIREARMS, THEIR PARTS</w:t>
      </w:r>
      <w:r>
        <w:rPr>
          <w:sz w:val="26"/>
        </w:rPr>
        <w:br/>
        <w:t>AND COMPONENTS AND AMMUNITION</w:t>
      </w:r>
      <w:proofErr w:type="gramStart"/>
      <w:r>
        <w:rPr>
          <w:sz w:val="26"/>
        </w:rPr>
        <w:t>,</w:t>
      </w:r>
      <w:proofErr w:type="gramEnd"/>
      <w:r>
        <w:rPr>
          <w:sz w:val="26"/>
        </w:rPr>
        <w:br/>
        <w:t>SUPPLEMENTING THE UNITED NATIONS CONVENTION</w:t>
      </w:r>
      <w:r>
        <w:rPr>
          <w:sz w:val="26"/>
        </w:rPr>
        <w:br/>
        <w:t>AGAINST TRANSNATIONAL ORGANIZED CRIME</w:t>
      </w:r>
    </w:p>
    <w:p w:rsidR="00000000" w:rsidRDefault="001F69C8">
      <w:pPr>
        <w:spacing w:line="300" w:lineRule="exact"/>
        <w:jc w:val="both"/>
        <w:rPr>
          <w:sz w:val="26"/>
        </w:rPr>
      </w:pPr>
    </w:p>
    <w:p w:rsidR="00000000" w:rsidRDefault="001F69C8">
      <w:pPr>
        <w:spacing w:line="300" w:lineRule="exact"/>
        <w:jc w:val="both"/>
        <w:rPr>
          <w:sz w:val="26"/>
        </w:rPr>
      </w:pPr>
    </w:p>
    <w:p w:rsidR="00000000" w:rsidRDefault="001F69C8">
      <w:pPr>
        <w:spacing w:line="300" w:lineRule="exact"/>
        <w:jc w:val="center"/>
        <w:rPr>
          <w:sz w:val="26"/>
        </w:rPr>
      </w:pPr>
      <w:r>
        <w:rPr>
          <w:sz w:val="26"/>
        </w:rPr>
        <w:t>Preamble</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The States Parties to this Protocol</w:t>
      </w:r>
      <w:r>
        <w:rPr>
          <w:sz w:val="26"/>
        </w:rPr>
        <w:t>,</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Awar</w:t>
      </w:r>
      <w:r>
        <w:rPr>
          <w:i/>
          <w:sz w:val="26"/>
        </w:rPr>
        <w:t>e</w:t>
      </w:r>
      <w:r>
        <w:rPr>
          <w:sz w:val="26"/>
        </w:rPr>
        <w:t xml:space="preserve"> of the urgent need to prevent, combat and eradicate the illicit manufacturing of and trafficking in firearms, their parts and components and ammunition, owing to the harmful effects of those activities on the security of each State, region and the world </w:t>
      </w:r>
      <w:r>
        <w:rPr>
          <w:sz w:val="26"/>
        </w:rPr>
        <w:t>as a whole, endangering the well-being of peoples, their social and economic development and their right to live in peace,</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Convinced</w:t>
      </w:r>
      <w:r>
        <w:rPr>
          <w:sz w:val="26"/>
        </w:rPr>
        <w:t>, therefore, of the necessity for all States to take all appropriate measures to this end, including international coopera</w:t>
      </w:r>
      <w:r>
        <w:rPr>
          <w:sz w:val="26"/>
        </w:rPr>
        <w:t>tion and other measures at the regional and global levels,</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Recalling</w:t>
      </w:r>
      <w:r>
        <w:rPr>
          <w:sz w:val="26"/>
        </w:rPr>
        <w:t xml:space="preserve"> General Assembly resolution 53/111 of 9 December 1998, in which the Assembly decided to establish an open-ended intergovernmental ad hoc committee for the purpose of elaborating a compr</w:t>
      </w:r>
      <w:r>
        <w:rPr>
          <w:sz w:val="26"/>
        </w:rPr>
        <w:t>ehensive international convention against transnational organized crime and of discussing the elaboration of, inter alia, an international instrument combating the illicit manufacturing of and trafficking in firearms, their parts and components and ammunit</w:t>
      </w:r>
      <w:r>
        <w:rPr>
          <w:sz w:val="26"/>
        </w:rPr>
        <w: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Bearing in mind</w:t>
      </w:r>
      <w:r>
        <w:rPr>
          <w:sz w:val="26"/>
        </w:rPr>
        <w:t xml:space="preserve"> the principle of equal rights and self-determination of peoples, as enshrined in the Charter of the United Nations and the Declaration on Principles of International Law concerning Friendly Relations and Cooperation among States in a</w:t>
      </w:r>
      <w:r>
        <w:rPr>
          <w:sz w:val="26"/>
        </w:rPr>
        <w:t>ccordance with the Charter of the United Nations,</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Convinced</w:t>
      </w:r>
      <w:r>
        <w:rPr>
          <w:sz w:val="26"/>
        </w:rPr>
        <w:t xml:space="preserve"> that supplementing the United Nations Convention against Transnational Organized Crime with an international instrument against the illicit manufacturing of and trafficking in firearms, their pa</w:t>
      </w:r>
      <w:r>
        <w:rPr>
          <w:sz w:val="26"/>
        </w:rPr>
        <w:t>rts and components and ammunition will be useful in preventing and combating those crimes,</w:t>
      </w:r>
    </w:p>
    <w:p w:rsidR="00000000" w:rsidRDefault="001F69C8">
      <w:pPr>
        <w:spacing w:line="300" w:lineRule="exact"/>
        <w:jc w:val="both"/>
        <w:rPr>
          <w:sz w:val="26"/>
        </w:rPr>
      </w:pPr>
    </w:p>
    <w:p w:rsidR="00000000" w:rsidRDefault="001F69C8">
      <w:pPr>
        <w:spacing w:line="300" w:lineRule="exact"/>
        <w:jc w:val="both"/>
        <w:rPr>
          <w:sz w:val="26"/>
        </w:rPr>
      </w:pPr>
      <w:r>
        <w:rPr>
          <w:sz w:val="26"/>
        </w:rPr>
        <w:tab/>
      </w:r>
      <w:r>
        <w:rPr>
          <w:i/>
          <w:sz w:val="26"/>
        </w:rPr>
        <w:t>Have agreed as follows</w:t>
      </w:r>
      <w:r>
        <w:rPr>
          <w:sz w:val="26"/>
        </w:rPr>
        <w:t>:</w:t>
      </w:r>
    </w:p>
    <w:p w:rsidR="00000000" w:rsidRDefault="001F69C8">
      <w:pPr>
        <w:spacing w:line="300" w:lineRule="exact"/>
        <w:jc w:val="both"/>
        <w:rPr>
          <w:sz w:val="26"/>
        </w:rPr>
      </w:pPr>
    </w:p>
    <w:p w:rsidR="00000000" w:rsidRDefault="001F69C8">
      <w:pPr>
        <w:spacing w:line="300" w:lineRule="exact"/>
        <w:jc w:val="both"/>
        <w:rPr>
          <w:sz w:val="2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4573" w:h="20635" w:code="12"/>
          <w:pgMar w:top="1800" w:right="2880" w:bottom="4320" w:left="2880" w:header="0" w:footer="3888" w:gutter="0"/>
          <w:paperSrc w:first="4" w:other="4"/>
          <w:pgNumType w:start="1"/>
          <w:cols w:space="720"/>
          <w:noEndnote/>
          <w:titlePg/>
        </w:sectPr>
      </w:pPr>
    </w:p>
    <w:p w:rsidR="00000000" w:rsidRDefault="001F69C8">
      <w:pPr>
        <w:spacing w:line="300" w:lineRule="exact"/>
        <w:jc w:val="center"/>
        <w:rPr>
          <w:sz w:val="26"/>
        </w:rPr>
      </w:pPr>
      <w:r>
        <w:rPr>
          <w:sz w:val="26"/>
        </w:rPr>
        <w:lastRenderedPageBreak/>
        <w:t>I. General provisions</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w:t>
      </w:r>
    </w:p>
    <w:p w:rsidR="00000000" w:rsidRDefault="001F69C8">
      <w:pPr>
        <w:spacing w:line="300" w:lineRule="exact"/>
        <w:jc w:val="center"/>
        <w:rPr>
          <w:i/>
          <w:sz w:val="26"/>
        </w:rPr>
      </w:pPr>
      <w:r>
        <w:rPr>
          <w:i/>
          <w:sz w:val="26"/>
        </w:rPr>
        <w:t>Relation with the United Nations Convention</w:t>
      </w:r>
    </w:p>
    <w:p w:rsidR="00000000" w:rsidRDefault="001F69C8">
      <w:pPr>
        <w:spacing w:line="300" w:lineRule="exact"/>
        <w:jc w:val="center"/>
        <w:rPr>
          <w:i/>
          <w:sz w:val="26"/>
        </w:rPr>
      </w:pPr>
      <w:proofErr w:type="gramStart"/>
      <w:r>
        <w:rPr>
          <w:i/>
          <w:sz w:val="26"/>
        </w:rPr>
        <w:t>against</w:t>
      </w:r>
      <w:proofErr w:type="gramEnd"/>
      <w:r>
        <w:rPr>
          <w:i/>
          <w:sz w:val="26"/>
        </w:rPr>
        <w:t xml:space="preserve"> Transnational Organized Crime</w:t>
      </w:r>
    </w:p>
    <w:p w:rsidR="00000000" w:rsidRDefault="001F69C8">
      <w:pPr>
        <w:spacing w:line="300" w:lineRule="exact"/>
        <w:jc w:val="both"/>
        <w:rPr>
          <w:sz w:val="26"/>
          <w:lang w:val="en-GB"/>
        </w:rPr>
      </w:pPr>
    </w:p>
    <w:p w:rsidR="00000000" w:rsidRDefault="001F69C8">
      <w:pPr>
        <w:spacing w:line="300" w:lineRule="exact"/>
        <w:jc w:val="both"/>
        <w:rPr>
          <w:sz w:val="26"/>
        </w:rPr>
      </w:pPr>
      <w:r>
        <w:rPr>
          <w:sz w:val="26"/>
        </w:rPr>
        <w:tab/>
        <w:t>1.</w:t>
      </w:r>
      <w:r>
        <w:rPr>
          <w:sz w:val="26"/>
        </w:rPr>
        <w:tab/>
        <w:t>This Protocol sup</w:t>
      </w:r>
      <w:r>
        <w:rPr>
          <w:sz w:val="26"/>
        </w:rPr>
        <w:t>plements the United Nations Convention against Transnational Organized Crime. It shall be interpreted together with the Convention.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The provisions of the Convention shall apply, mutatis mutandis, to this Protocol unless otherwise provided herein.</w:t>
      </w:r>
    </w:p>
    <w:p w:rsidR="00000000" w:rsidRDefault="001F69C8">
      <w:pPr>
        <w:spacing w:line="300" w:lineRule="exact"/>
        <w:jc w:val="both"/>
        <w:rPr>
          <w:sz w:val="26"/>
        </w:rPr>
      </w:pPr>
    </w:p>
    <w:p w:rsidR="00000000" w:rsidRDefault="001F69C8">
      <w:pPr>
        <w:spacing w:line="300" w:lineRule="exact"/>
        <w:jc w:val="both"/>
        <w:rPr>
          <w:sz w:val="26"/>
        </w:rPr>
      </w:pPr>
      <w:r>
        <w:rPr>
          <w:sz w:val="26"/>
        </w:rPr>
        <w:tab/>
        <w:t>3.</w:t>
      </w:r>
      <w:r>
        <w:rPr>
          <w:sz w:val="26"/>
        </w:rPr>
        <w:tab/>
        <w:t>The offences established in accordance with article 5 of this Protocol shall be regarded as offences established in accordance with the Convention.</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2</w:t>
      </w:r>
    </w:p>
    <w:p w:rsidR="00000000" w:rsidRDefault="001F69C8">
      <w:pPr>
        <w:spacing w:line="300" w:lineRule="exact"/>
        <w:jc w:val="center"/>
        <w:rPr>
          <w:i/>
          <w:sz w:val="26"/>
        </w:rPr>
      </w:pPr>
      <w:r>
        <w:rPr>
          <w:i/>
          <w:sz w:val="26"/>
        </w:rPr>
        <w:t>Statement of purpose</w:t>
      </w:r>
    </w:p>
    <w:p w:rsidR="00000000" w:rsidRDefault="001F69C8">
      <w:pPr>
        <w:spacing w:line="300" w:lineRule="exact"/>
        <w:jc w:val="both"/>
        <w:rPr>
          <w:sz w:val="26"/>
        </w:rPr>
      </w:pPr>
    </w:p>
    <w:p w:rsidR="00000000" w:rsidRDefault="001F69C8">
      <w:pPr>
        <w:spacing w:line="300" w:lineRule="exact"/>
        <w:jc w:val="both"/>
        <w:rPr>
          <w:sz w:val="26"/>
        </w:rPr>
      </w:pPr>
      <w:r>
        <w:rPr>
          <w:sz w:val="26"/>
        </w:rPr>
        <w:tab/>
        <w:t>The purpose of this Protocol is to promote, facilitate and strengthen coo</w:t>
      </w:r>
      <w:r>
        <w:rPr>
          <w:sz w:val="26"/>
        </w:rPr>
        <w:t>peration among States Parties in order to prevent, combat and eradicate the illicit manufacturing of and trafficking in firearms, their parts and components and ammunition.</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3</w:t>
      </w:r>
    </w:p>
    <w:p w:rsidR="00000000" w:rsidRDefault="001F69C8">
      <w:pPr>
        <w:spacing w:line="300" w:lineRule="exact"/>
        <w:jc w:val="center"/>
        <w:rPr>
          <w:i/>
          <w:sz w:val="26"/>
        </w:rPr>
      </w:pPr>
      <w:r>
        <w:rPr>
          <w:i/>
          <w:sz w:val="26"/>
        </w:rPr>
        <w:t>Use of terms</w:t>
      </w:r>
    </w:p>
    <w:p w:rsidR="00000000" w:rsidRDefault="001F69C8">
      <w:pPr>
        <w:spacing w:line="300" w:lineRule="exact"/>
        <w:jc w:val="both"/>
        <w:rPr>
          <w:sz w:val="26"/>
        </w:rPr>
      </w:pPr>
    </w:p>
    <w:p w:rsidR="00000000" w:rsidRDefault="001F69C8">
      <w:pPr>
        <w:spacing w:line="300" w:lineRule="exact"/>
        <w:jc w:val="both"/>
        <w:rPr>
          <w:sz w:val="26"/>
        </w:rPr>
      </w:pPr>
      <w:r>
        <w:rPr>
          <w:sz w:val="26"/>
        </w:rPr>
        <w:tab/>
        <w:t>For the purposes of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 xml:space="preserve">“Firearm” shall </w:t>
      </w:r>
      <w:r>
        <w:rPr>
          <w:sz w:val="26"/>
        </w:rPr>
        <w:t>mean any portable barrelled weapon that expels, is designed to expel or may be readily converted to expel a shot, bullet or projectile by the action of an explosive, excluding antique firearms or their replicas. Antique firearms and their replicas shall be</w:t>
      </w:r>
      <w:r>
        <w:rPr>
          <w:sz w:val="26"/>
        </w:rPr>
        <w:t xml:space="preserve"> defined in accordance with domestic law. In no case, however, shall antique firearms include firearms manufactured after 1899;</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 xml:space="preserve">“Parts and components” shall mean any element or replacement element specifically designed for a firearm and essential to </w:t>
      </w:r>
      <w:r>
        <w:rPr>
          <w:sz w:val="26"/>
        </w:rPr>
        <w:t>its operation, including a barrel, frame or receiver, slide or cylinder, bolt or breech block, and any device designed or adapted to diminish the sound caused by firing a firearm;</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c</w:t>
      </w:r>
      <w:r>
        <w:rPr>
          <w:sz w:val="26"/>
        </w:rPr>
        <w:t>)</w:t>
      </w:r>
      <w:r>
        <w:rPr>
          <w:sz w:val="26"/>
        </w:rPr>
        <w:tab/>
        <w:t>“Ammunition” shall mean the complete round or its components, includin</w:t>
      </w:r>
      <w:r>
        <w:rPr>
          <w:sz w:val="26"/>
        </w:rPr>
        <w:t xml:space="preserve">g cartridge cases, primers, propellant powder, bullets or projectiles, </w:t>
      </w:r>
      <w:r>
        <w:rPr>
          <w:sz w:val="26"/>
        </w:rPr>
        <w:lastRenderedPageBreak/>
        <w:t>that are used in a firearm, provided that those components are themselves subject to authorization in the respective State Party;</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d</w:t>
      </w:r>
      <w:r>
        <w:rPr>
          <w:sz w:val="26"/>
        </w:rPr>
        <w:t>)</w:t>
      </w:r>
      <w:r>
        <w:rPr>
          <w:sz w:val="26"/>
        </w:rPr>
        <w:tab/>
        <w:t>“Illicit manufacturing” shall mean the manufactur</w:t>
      </w:r>
      <w:r>
        <w:rPr>
          <w:sz w:val="26"/>
        </w:rPr>
        <w:t>ing or assembly of firearms, their parts and components or ammunition: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(i)</w:t>
      </w:r>
      <w:r>
        <w:rPr>
          <w:sz w:val="26"/>
        </w:rPr>
        <w:tab/>
        <w:t>From parts and components illicitly trafficked;</w:t>
      </w:r>
    </w:p>
    <w:p w:rsidR="00000000" w:rsidRDefault="001F69C8">
      <w:pPr>
        <w:spacing w:line="300" w:lineRule="exact"/>
        <w:jc w:val="both"/>
        <w:rPr>
          <w:sz w:val="26"/>
        </w:rPr>
      </w:pPr>
    </w:p>
    <w:p w:rsidR="00000000" w:rsidRDefault="001F69C8">
      <w:pPr>
        <w:spacing w:line="300" w:lineRule="exact"/>
        <w:ind w:left="720" w:hanging="720"/>
        <w:jc w:val="both"/>
        <w:rPr>
          <w:sz w:val="26"/>
        </w:rPr>
      </w:pPr>
      <w:r>
        <w:rPr>
          <w:sz w:val="26"/>
        </w:rPr>
        <w:tab/>
        <w:t>(ii)</w:t>
      </w:r>
      <w:r>
        <w:rPr>
          <w:sz w:val="26"/>
        </w:rPr>
        <w:tab/>
        <w:t>Without a licence or authorization from a competent authority of the State Party where the manufacture or assembly takes pla</w:t>
      </w:r>
      <w:r>
        <w:rPr>
          <w:sz w:val="26"/>
        </w:rPr>
        <w:t>ce; or</w:t>
      </w:r>
    </w:p>
    <w:p w:rsidR="00000000" w:rsidRDefault="001F69C8">
      <w:pPr>
        <w:spacing w:line="300" w:lineRule="exact"/>
        <w:jc w:val="both"/>
        <w:rPr>
          <w:sz w:val="26"/>
        </w:rPr>
      </w:pPr>
    </w:p>
    <w:p w:rsidR="00000000" w:rsidRDefault="001F69C8">
      <w:pPr>
        <w:spacing w:line="300" w:lineRule="exact"/>
        <w:ind w:left="720" w:hanging="720"/>
        <w:jc w:val="both"/>
        <w:rPr>
          <w:sz w:val="26"/>
        </w:rPr>
      </w:pPr>
      <w:r>
        <w:rPr>
          <w:sz w:val="26"/>
        </w:rPr>
        <w:tab/>
        <w:t>(iii)</w:t>
      </w:r>
      <w:r>
        <w:rPr>
          <w:sz w:val="26"/>
        </w:rPr>
        <w:tab/>
        <w:t>Without marking the firearms at the time of manufacture, in accordance with article 8 of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t>Licensing or authorization of the manufacture of parts and components shall be in accordance with domestic law;</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e</w:t>
      </w:r>
      <w:r>
        <w:rPr>
          <w:sz w:val="26"/>
        </w:rPr>
        <w:t>)</w:t>
      </w:r>
      <w:r>
        <w:rPr>
          <w:sz w:val="26"/>
        </w:rPr>
        <w:tab/>
        <w:t>“Illicit trafficki</w:t>
      </w:r>
      <w:r>
        <w:rPr>
          <w:sz w:val="26"/>
        </w:rPr>
        <w:t>ng” shall mean the import, export, acquisition, sale, delivery, movement or transfer of firearms, their parts and components and ammunition from or across the territory of one State Party to that of another State Party if any one of the States Parties conc</w:t>
      </w:r>
      <w:r>
        <w:rPr>
          <w:sz w:val="26"/>
        </w:rPr>
        <w:t>erned does not authorize it in accordance with the terms of this Protocol or if the firearms are not marked in accordance with article 8 of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f</w:t>
      </w:r>
      <w:r>
        <w:rPr>
          <w:sz w:val="26"/>
        </w:rPr>
        <w:t>)</w:t>
      </w:r>
      <w:r>
        <w:rPr>
          <w:sz w:val="26"/>
        </w:rPr>
        <w:tab/>
        <w:t>“Tracing” shall mean the systematic tracking of firearms and, where possible, their parts and c</w:t>
      </w:r>
      <w:r>
        <w:rPr>
          <w:sz w:val="26"/>
        </w:rPr>
        <w:t>omponents and ammunition from manufacturer to purchaser for the purpose of assisting the competent authorities of States Parties in detecting, investigating and analysing illicit manufacturing and illicit trafficking.</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4</w:t>
      </w:r>
    </w:p>
    <w:p w:rsidR="00000000" w:rsidRDefault="001F69C8">
      <w:pPr>
        <w:spacing w:line="300" w:lineRule="exact"/>
        <w:jc w:val="center"/>
        <w:rPr>
          <w:i/>
          <w:sz w:val="26"/>
        </w:rPr>
      </w:pPr>
      <w:r>
        <w:rPr>
          <w:i/>
          <w:sz w:val="26"/>
        </w:rPr>
        <w:t>Scope of application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T</w:t>
      </w:r>
      <w:r>
        <w:rPr>
          <w:sz w:val="26"/>
        </w:rPr>
        <w:t>his Protocol shall apply, except as otherwise stated herein, to the prevention of illicit manufacturing of and trafficking in firearms, their parts and components and ammunition and to the investigation and prosecution of offences established in accordance</w:t>
      </w:r>
      <w:r>
        <w:rPr>
          <w:sz w:val="26"/>
        </w:rPr>
        <w:t xml:space="preserve"> with article 5 of this Protocol where those offences are transnational in nature and involve an organized criminal group.</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This Protocol shall not apply to state-to-state transactions or to state transfers in cases where the application of the Protoco</w:t>
      </w:r>
      <w:r>
        <w:rPr>
          <w:sz w:val="26"/>
        </w:rPr>
        <w:t>l would prejudice the right of a State Party to take action in the interest of national security consistent with the Charter of the United Nations.</w:t>
      </w:r>
    </w:p>
    <w:p w:rsidR="00000000" w:rsidRDefault="001F69C8">
      <w:pPr>
        <w:spacing w:line="300" w:lineRule="exact"/>
        <w:jc w:val="both"/>
        <w:rPr>
          <w:sz w:val="26"/>
        </w:rPr>
      </w:pPr>
    </w:p>
    <w:p w:rsidR="00000000" w:rsidRDefault="001F69C8">
      <w:pPr>
        <w:keepNext/>
        <w:spacing w:line="300" w:lineRule="exact"/>
        <w:jc w:val="center"/>
        <w:rPr>
          <w:i/>
          <w:sz w:val="26"/>
        </w:rPr>
      </w:pPr>
      <w:r>
        <w:rPr>
          <w:i/>
          <w:sz w:val="26"/>
        </w:rPr>
        <w:lastRenderedPageBreak/>
        <w:t>Article 5</w:t>
      </w:r>
    </w:p>
    <w:p w:rsidR="00000000" w:rsidRDefault="001F69C8">
      <w:pPr>
        <w:keepNext/>
        <w:spacing w:line="300" w:lineRule="exact"/>
        <w:jc w:val="center"/>
        <w:rPr>
          <w:i/>
          <w:sz w:val="26"/>
        </w:rPr>
      </w:pPr>
      <w:r>
        <w:rPr>
          <w:i/>
          <w:sz w:val="26"/>
        </w:rPr>
        <w:t>Criminalization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Each State Party shall adopt such legislative and other measures as may be n</w:t>
      </w:r>
      <w:r>
        <w:rPr>
          <w:sz w:val="26"/>
        </w:rPr>
        <w:t>ecessary to establish as criminal offences the following conduct, when committed intentionally:</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 xml:space="preserve">Illicit manufacturing of firearms, their parts and components and ammunition; </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Illicit trafficking in firearms, their parts and components and ammun</w:t>
      </w:r>
      <w:r>
        <w:rPr>
          <w:sz w:val="26"/>
        </w:rPr>
        <w:t xml:space="preserve">ition; </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c</w:t>
      </w:r>
      <w:r>
        <w:rPr>
          <w:sz w:val="26"/>
        </w:rPr>
        <w:t>)</w:t>
      </w:r>
      <w:r>
        <w:rPr>
          <w:sz w:val="26"/>
        </w:rPr>
        <w:tab/>
        <w:t>Falsifying or illicitly obliterating, removing or altering the marking(s) on firearms required by article 8 of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Each State Party shall also adopt such legislative and other measures as may be necessary to establish as crimi</w:t>
      </w:r>
      <w:r>
        <w:rPr>
          <w:sz w:val="26"/>
        </w:rPr>
        <w:t>nal offences the following conduct:</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Subject to the basic concepts of its legal system, attempting to commit or participating as an accomplice in an offence established in accordance with paragraph 1 of this article; and</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Organizing, directing, a</w:t>
      </w:r>
      <w:r>
        <w:rPr>
          <w:sz w:val="26"/>
        </w:rPr>
        <w:t>iding, abetting, facilitating or counselling the commission of an offence established in accordance with paragraph 1 of this article.</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6</w:t>
      </w:r>
    </w:p>
    <w:p w:rsidR="00000000" w:rsidRDefault="001F69C8">
      <w:pPr>
        <w:spacing w:line="300" w:lineRule="exact"/>
        <w:jc w:val="center"/>
        <w:rPr>
          <w:i/>
          <w:sz w:val="26"/>
        </w:rPr>
      </w:pPr>
      <w:r>
        <w:rPr>
          <w:i/>
          <w:sz w:val="26"/>
        </w:rPr>
        <w:t>Confiscation, seizure and disposal</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Without prejudice to article 12 of the Convention, States Parties shall</w:t>
      </w:r>
      <w:r>
        <w:rPr>
          <w:sz w:val="26"/>
        </w:rPr>
        <w:t xml:space="preserve"> adopt, to the greatest extent possible within their domestic legal systems, such measures as may be necessary to enable confiscation of firearms, their parts and components and ammunition that have been illicitly manufactured or trafficked.</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States Pa</w:t>
      </w:r>
      <w:r>
        <w:rPr>
          <w:sz w:val="26"/>
        </w:rPr>
        <w:t>rties shall adopt, within their domestic legal systems, such measures as may be necessary to prevent illicitly manufactured and trafficked firearms, parts and components and ammunition from falling into the hands of unauthorized persons by seizing and dest</w:t>
      </w:r>
      <w:r>
        <w:rPr>
          <w:sz w:val="26"/>
        </w:rPr>
        <w:t>roying such firearms, their parts and components and ammunition unless other disposal has been officially authorized, provided that the firearms have been marked and the methods of disposal of those firearms and ammunition have been recorded.</w:t>
      </w:r>
    </w:p>
    <w:p w:rsidR="00000000" w:rsidRDefault="001F69C8">
      <w:pPr>
        <w:keepNext/>
        <w:keepLines/>
        <w:spacing w:line="300" w:lineRule="exact"/>
        <w:jc w:val="center"/>
        <w:rPr>
          <w:sz w:val="26"/>
        </w:rPr>
      </w:pPr>
      <w:r>
        <w:rPr>
          <w:sz w:val="26"/>
        </w:rPr>
        <w:lastRenderedPageBreak/>
        <w:t>II. Preventio</w:t>
      </w:r>
      <w:r>
        <w:rPr>
          <w:sz w:val="26"/>
        </w:rPr>
        <w:t>n</w:t>
      </w:r>
    </w:p>
    <w:p w:rsidR="00000000" w:rsidRDefault="001F69C8">
      <w:pPr>
        <w:keepNext/>
        <w:keepLines/>
        <w:spacing w:line="300" w:lineRule="exact"/>
        <w:jc w:val="both"/>
        <w:rPr>
          <w:sz w:val="26"/>
        </w:rPr>
      </w:pPr>
    </w:p>
    <w:p w:rsidR="00000000" w:rsidRDefault="001F69C8">
      <w:pPr>
        <w:spacing w:line="300" w:lineRule="exact"/>
        <w:jc w:val="center"/>
        <w:rPr>
          <w:i/>
          <w:sz w:val="26"/>
        </w:rPr>
      </w:pPr>
      <w:r>
        <w:rPr>
          <w:i/>
          <w:sz w:val="26"/>
        </w:rPr>
        <w:t>Article 7</w:t>
      </w:r>
    </w:p>
    <w:p w:rsidR="00000000" w:rsidRDefault="001F69C8">
      <w:pPr>
        <w:spacing w:line="300" w:lineRule="exact"/>
        <w:jc w:val="center"/>
        <w:rPr>
          <w:i/>
          <w:sz w:val="26"/>
        </w:rPr>
      </w:pPr>
      <w:r>
        <w:rPr>
          <w:i/>
          <w:sz w:val="26"/>
        </w:rPr>
        <w:t>Record-keeping</w:t>
      </w:r>
    </w:p>
    <w:p w:rsidR="00000000" w:rsidRDefault="001F69C8">
      <w:pPr>
        <w:spacing w:line="300" w:lineRule="exact"/>
        <w:jc w:val="both"/>
        <w:rPr>
          <w:sz w:val="26"/>
        </w:rPr>
      </w:pPr>
    </w:p>
    <w:p w:rsidR="00000000" w:rsidRDefault="001F69C8">
      <w:pPr>
        <w:spacing w:line="300" w:lineRule="exact"/>
        <w:jc w:val="both"/>
        <w:rPr>
          <w:sz w:val="26"/>
        </w:rPr>
      </w:pPr>
      <w:r>
        <w:rPr>
          <w:sz w:val="26"/>
        </w:rPr>
        <w:tab/>
        <w:t>Each State Party shall ensure the maintenance, for not less than ten years, of information in relation to firearms and, where appropriate and feasible, their parts and components and ammunition that is necessary to trace and i</w:t>
      </w:r>
      <w:r>
        <w:rPr>
          <w:sz w:val="26"/>
        </w:rPr>
        <w:t>dentify those firearms and, where appropriate and feasible, their parts and components and ammunition which are illicitly manufactured or trafficked and to prevent and detect such activities. Such information shall include:</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The appropriate markings r</w:t>
      </w:r>
      <w:r>
        <w:rPr>
          <w:sz w:val="26"/>
        </w:rPr>
        <w:t>equired by article 8 of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In cases involving international transactions in firearms, their parts and components and ammunition, the issuance and expiration dates of the appropriate licences or authorizations, the country of export, the c</w:t>
      </w:r>
      <w:r>
        <w:rPr>
          <w:sz w:val="26"/>
        </w:rPr>
        <w:t>ountry of import, the transit countries, where appropriate, and the final recipient and the description and quantity of the articles.</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8</w:t>
      </w:r>
    </w:p>
    <w:p w:rsidR="00000000" w:rsidRDefault="001F69C8">
      <w:pPr>
        <w:spacing w:line="300" w:lineRule="exact"/>
        <w:jc w:val="center"/>
        <w:rPr>
          <w:i/>
          <w:sz w:val="26"/>
        </w:rPr>
      </w:pPr>
      <w:r>
        <w:rPr>
          <w:i/>
          <w:sz w:val="26"/>
        </w:rPr>
        <w:t>Marking of firearms</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For the purpose of identifying and tracing each firearm, States Parties shall:</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A</w:t>
      </w:r>
      <w:r>
        <w:rPr>
          <w:sz w:val="26"/>
        </w:rPr>
        <w:t>t the time of manufacture of each firearm, either require unique marking providing the name of the manufacturer, the country or place of manufacture and the serial number, or maintain any alternative unique user-friendly marking with simple geometric symbo</w:t>
      </w:r>
      <w:r>
        <w:rPr>
          <w:sz w:val="26"/>
        </w:rPr>
        <w:t>ls in combination with a numeric and/or alphanumeric code, permitting ready identification by all States of the country of manufacture;</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Require appropriate simple marking on each imported firearm, permitting identification of the country of import an</w:t>
      </w:r>
      <w:r>
        <w:rPr>
          <w:sz w:val="26"/>
        </w:rPr>
        <w:t>d, where possible, the year of import and enabling the competent authorities of that country to trace the firearm, and a unique marking, if the firearm does not bear such a marking. The requirements of this subparagraph need not be applied to temporary imp</w:t>
      </w:r>
      <w:r>
        <w:rPr>
          <w:sz w:val="26"/>
        </w:rPr>
        <w:t>orts of firearms for verifiable lawful purposes;</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c</w:t>
      </w:r>
      <w:r>
        <w:rPr>
          <w:sz w:val="26"/>
        </w:rPr>
        <w:t>)</w:t>
      </w:r>
      <w:r>
        <w:rPr>
          <w:sz w:val="26"/>
        </w:rPr>
        <w:tab/>
        <w:t>Ensure, at the time of transfer of a firearm from government stocks to permanent civilian use, the appropriate unique marking permitting identification by all States Parties of the transferring country</w:t>
      </w:r>
      <w:r>
        <w:rPr>
          <w:sz w:val="26"/>
        </w:rPr>
        <w:t>.</w:t>
      </w:r>
    </w:p>
    <w:p w:rsidR="00000000" w:rsidRDefault="001F69C8">
      <w:pPr>
        <w:spacing w:line="300" w:lineRule="exact"/>
        <w:jc w:val="both"/>
        <w:rPr>
          <w:sz w:val="26"/>
        </w:rPr>
      </w:pPr>
    </w:p>
    <w:p w:rsidR="00000000" w:rsidRDefault="001F69C8">
      <w:pPr>
        <w:keepNext/>
        <w:spacing w:line="300" w:lineRule="exact"/>
        <w:jc w:val="both"/>
        <w:rPr>
          <w:sz w:val="26"/>
        </w:rPr>
      </w:pPr>
      <w:r>
        <w:rPr>
          <w:sz w:val="26"/>
        </w:rPr>
        <w:lastRenderedPageBreak/>
        <w:tab/>
        <w:t>2.</w:t>
      </w:r>
      <w:r>
        <w:rPr>
          <w:sz w:val="26"/>
        </w:rPr>
        <w:tab/>
        <w:t>States Parties shall encourage the firearms manufacturing industry to develop measures against the removal or alteration of markings.</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9</w:t>
      </w:r>
    </w:p>
    <w:p w:rsidR="00000000" w:rsidRDefault="001F69C8">
      <w:pPr>
        <w:spacing w:line="300" w:lineRule="exact"/>
        <w:jc w:val="center"/>
        <w:rPr>
          <w:i/>
          <w:sz w:val="26"/>
        </w:rPr>
      </w:pPr>
      <w:r>
        <w:rPr>
          <w:i/>
          <w:sz w:val="26"/>
        </w:rPr>
        <w:t>Deactivation of firearms</w:t>
      </w:r>
    </w:p>
    <w:p w:rsidR="00000000" w:rsidRDefault="001F69C8">
      <w:pPr>
        <w:spacing w:line="300" w:lineRule="exact"/>
        <w:jc w:val="both"/>
        <w:rPr>
          <w:sz w:val="26"/>
        </w:rPr>
      </w:pPr>
    </w:p>
    <w:p w:rsidR="00000000" w:rsidRDefault="001F69C8">
      <w:pPr>
        <w:spacing w:line="300" w:lineRule="exact"/>
        <w:jc w:val="both"/>
        <w:rPr>
          <w:sz w:val="26"/>
        </w:rPr>
      </w:pPr>
      <w:r>
        <w:rPr>
          <w:sz w:val="26"/>
        </w:rPr>
        <w:tab/>
        <w:t>A State Party that does not recognize a deactivated firearm as a firearm in a</w:t>
      </w:r>
      <w:r>
        <w:rPr>
          <w:sz w:val="26"/>
        </w:rPr>
        <w:t>ccordance with its domestic law shall take the necessary measures, including the establishment of specific offences if appropriate, to prevent the illicit reactivation of deactivated firearms, consistent with the following general principles of deactivatio</w:t>
      </w:r>
      <w:r>
        <w:rPr>
          <w:sz w:val="26"/>
        </w:rPr>
        <w:t>n:</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All essential parts of a deactivated firearm are to be rendered permanently inoperable and incapable of removal, replacement or modification in a manner that would permit the firearm to be reactivated in any way;</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 xml:space="preserve">Arrangements are to be made </w:t>
      </w:r>
      <w:r>
        <w:rPr>
          <w:sz w:val="26"/>
        </w:rPr>
        <w:t>for deactivation measures to be verified, where appropriate, by a competent authority to ensure that the modifications made to a firearm render it permanently inoperable;</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c</w:t>
      </w:r>
      <w:r>
        <w:rPr>
          <w:sz w:val="26"/>
        </w:rPr>
        <w:t>)</w:t>
      </w:r>
      <w:r>
        <w:rPr>
          <w:sz w:val="26"/>
        </w:rPr>
        <w:tab/>
        <w:t>Verification by a competent authority is to include a certificate or record att</w:t>
      </w:r>
      <w:r>
        <w:rPr>
          <w:sz w:val="26"/>
        </w:rPr>
        <w:t>esting to the deactivation of the firearm or a clearly visible mark to that effect stamped on the firearm.</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10</w:t>
      </w:r>
    </w:p>
    <w:p w:rsidR="00000000" w:rsidRDefault="001F69C8">
      <w:pPr>
        <w:spacing w:line="300" w:lineRule="exact"/>
        <w:jc w:val="center"/>
        <w:rPr>
          <w:i/>
          <w:sz w:val="26"/>
        </w:rPr>
      </w:pPr>
      <w:r>
        <w:rPr>
          <w:i/>
          <w:sz w:val="26"/>
        </w:rPr>
        <w:t>General requirements for export, import and</w:t>
      </w:r>
    </w:p>
    <w:p w:rsidR="00000000" w:rsidRDefault="001F69C8">
      <w:pPr>
        <w:spacing w:line="300" w:lineRule="exact"/>
        <w:jc w:val="center"/>
        <w:rPr>
          <w:i/>
          <w:sz w:val="26"/>
        </w:rPr>
      </w:pPr>
      <w:proofErr w:type="gramStart"/>
      <w:r>
        <w:rPr>
          <w:i/>
          <w:sz w:val="26"/>
        </w:rPr>
        <w:t>transit</w:t>
      </w:r>
      <w:proofErr w:type="gramEnd"/>
      <w:r>
        <w:rPr>
          <w:i/>
          <w:sz w:val="26"/>
        </w:rPr>
        <w:t xml:space="preserve"> licensing or authorization systems</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 xml:space="preserve">Each State Party shall establish or maintain </w:t>
      </w:r>
      <w:r>
        <w:rPr>
          <w:sz w:val="26"/>
        </w:rPr>
        <w:t>an effective system of export and import licensing or authorization, as well as of measures on international transit, for the transfer of firearms, their parts and components and ammunition.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Before issuing export licences or authorizations for shipmen</w:t>
      </w:r>
      <w:r>
        <w:rPr>
          <w:sz w:val="26"/>
        </w:rPr>
        <w:t>ts of firearms, their parts and components and ammunition, each State Party shall verify:</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That the importing States have issued import licences or authorizations; and</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That, without prejudice to bilateral or multilateral agreements or arrangemen</w:t>
      </w:r>
      <w:r>
        <w:rPr>
          <w:sz w:val="26"/>
        </w:rPr>
        <w:t>ts favouring landlocked States, the transit States have, at a minimum, given notice in writing, prior to shipment, that they have no objection to the transit.</w:t>
      </w:r>
    </w:p>
    <w:p w:rsidR="00000000" w:rsidRDefault="001F69C8">
      <w:pPr>
        <w:spacing w:line="300" w:lineRule="exact"/>
        <w:jc w:val="both"/>
        <w:rPr>
          <w:sz w:val="26"/>
        </w:rPr>
      </w:pPr>
    </w:p>
    <w:p w:rsidR="00000000" w:rsidRDefault="001F69C8">
      <w:pPr>
        <w:spacing w:line="300" w:lineRule="exact"/>
        <w:jc w:val="both"/>
        <w:rPr>
          <w:sz w:val="26"/>
        </w:rPr>
      </w:pPr>
      <w:r>
        <w:rPr>
          <w:sz w:val="26"/>
        </w:rPr>
        <w:lastRenderedPageBreak/>
        <w:tab/>
        <w:t>3.</w:t>
      </w:r>
      <w:r>
        <w:rPr>
          <w:sz w:val="26"/>
        </w:rPr>
        <w:tab/>
        <w:t>The export and import licence or authorization and accompanying documentation together shall</w:t>
      </w:r>
      <w:r>
        <w:rPr>
          <w:sz w:val="26"/>
        </w:rPr>
        <w:t xml:space="preserve"> contain information that, at a minimum, shall include the place and the date of issuance, the date of expiration, the country of export, the country of import, the final recipient, a description and the quantity of the firearms, their parts and components</w:t>
      </w:r>
      <w:r>
        <w:rPr>
          <w:sz w:val="26"/>
        </w:rPr>
        <w:t xml:space="preserve"> and ammunition and, whenever there is transit, the countries of transit. The information contained in the import licence must be provided in advance to the transit States.</w:t>
      </w:r>
    </w:p>
    <w:p w:rsidR="00000000" w:rsidRDefault="001F69C8">
      <w:pPr>
        <w:spacing w:line="300" w:lineRule="exact"/>
        <w:jc w:val="both"/>
        <w:rPr>
          <w:sz w:val="26"/>
        </w:rPr>
      </w:pPr>
    </w:p>
    <w:p w:rsidR="00000000" w:rsidRDefault="001F69C8">
      <w:pPr>
        <w:spacing w:line="300" w:lineRule="exact"/>
        <w:jc w:val="both"/>
        <w:rPr>
          <w:sz w:val="26"/>
        </w:rPr>
      </w:pPr>
      <w:r>
        <w:rPr>
          <w:sz w:val="26"/>
        </w:rPr>
        <w:tab/>
        <w:t>4.</w:t>
      </w:r>
      <w:r>
        <w:rPr>
          <w:sz w:val="26"/>
        </w:rPr>
        <w:tab/>
        <w:t>The importing State Party shall, upon request, inform the exporting State Part</w:t>
      </w:r>
      <w:r>
        <w:rPr>
          <w:sz w:val="26"/>
        </w:rPr>
        <w:t>y of the receipt of the dispatched shipment of firearms, their parts and components or ammunition.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5.</w:t>
      </w:r>
      <w:r>
        <w:rPr>
          <w:sz w:val="26"/>
        </w:rPr>
        <w:tab/>
        <w:t>Each State Party shall, within available means, take such measures as may be necessary to ensure that licensing or authorization procedures are secure a</w:t>
      </w:r>
      <w:r>
        <w:rPr>
          <w:sz w:val="26"/>
        </w:rPr>
        <w:t>nd that the authenticity of licensing or authorization documents can be verified or validated.</w:t>
      </w:r>
    </w:p>
    <w:p w:rsidR="00000000" w:rsidRDefault="001F69C8">
      <w:pPr>
        <w:spacing w:line="300" w:lineRule="exact"/>
        <w:jc w:val="both"/>
        <w:rPr>
          <w:sz w:val="26"/>
        </w:rPr>
      </w:pPr>
    </w:p>
    <w:p w:rsidR="00000000" w:rsidRDefault="001F69C8">
      <w:pPr>
        <w:spacing w:line="300" w:lineRule="exact"/>
        <w:jc w:val="both"/>
        <w:rPr>
          <w:sz w:val="26"/>
        </w:rPr>
      </w:pPr>
      <w:r>
        <w:rPr>
          <w:sz w:val="26"/>
        </w:rPr>
        <w:tab/>
        <w:t>6.</w:t>
      </w:r>
      <w:r>
        <w:rPr>
          <w:sz w:val="26"/>
        </w:rPr>
        <w:tab/>
        <w:t>States Parties may adopt simplified procedures for the temporary import and export and the transit of firearms, their parts and components and ammunition fo</w:t>
      </w:r>
      <w:r>
        <w:rPr>
          <w:sz w:val="26"/>
        </w:rPr>
        <w:t>r verifiable lawful purposes such as hunting, sport shooting, evaluation, exhibitions or repairs.</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11</w:t>
      </w:r>
    </w:p>
    <w:p w:rsidR="00000000" w:rsidRDefault="001F69C8">
      <w:pPr>
        <w:spacing w:line="300" w:lineRule="exact"/>
        <w:jc w:val="center"/>
        <w:rPr>
          <w:i/>
          <w:sz w:val="26"/>
        </w:rPr>
      </w:pPr>
      <w:r>
        <w:rPr>
          <w:i/>
          <w:sz w:val="26"/>
        </w:rPr>
        <w:t>Security and preventive measures</w:t>
      </w:r>
    </w:p>
    <w:p w:rsidR="00000000" w:rsidRDefault="001F69C8">
      <w:pPr>
        <w:spacing w:line="300" w:lineRule="exact"/>
        <w:jc w:val="both"/>
        <w:rPr>
          <w:sz w:val="26"/>
        </w:rPr>
      </w:pPr>
    </w:p>
    <w:p w:rsidR="00000000" w:rsidRDefault="001F69C8">
      <w:pPr>
        <w:spacing w:line="300" w:lineRule="exact"/>
        <w:jc w:val="both"/>
        <w:rPr>
          <w:sz w:val="26"/>
        </w:rPr>
      </w:pPr>
      <w:r>
        <w:rPr>
          <w:sz w:val="26"/>
        </w:rPr>
        <w:tab/>
        <w:t>In an effort to detect, prevent and eliminate the theft, loss or diversion of, as well as the illicit manufactu</w:t>
      </w:r>
      <w:r>
        <w:rPr>
          <w:sz w:val="26"/>
        </w:rPr>
        <w:t>ring of and trafficking in, firearms, their parts and components and ammunition, each State Party shall take appropriate measures:</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To require the security of firearms, their parts and components and ammunition at the time of manufacture, import, expo</w:t>
      </w:r>
      <w:r>
        <w:rPr>
          <w:sz w:val="26"/>
        </w:rPr>
        <w:t>rt and transit through its territory; and</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To increase the effectiveness of import, export and transit controls, including, where appropriate, border controls, and of police and customs transborder cooperation.</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12</w:t>
      </w:r>
    </w:p>
    <w:p w:rsidR="00000000" w:rsidRDefault="001F69C8">
      <w:pPr>
        <w:spacing w:line="300" w:lineRule="exact"/>
        <w:jc w:val="center"/>
        <w:rPr>
          <w:i/>
          <w:sz w:val="26"/>
        </w:rPr>
      </w:pPr>
      <w:r>
        <w:rPr>
          <w:i/>
          <w:sz w:val="26"/>
        </w:rPr>
        <w:t>Information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Without pre</w:t>
      </w:r>
      <w:r>
        <w:rPr>
          <w:sz w:val="26"/>
        </w:rPr>
        <w:t>judice to articles 27 and 28 of the Convention, States Parties shall exchange among themselves, consistent with their respective domestic legal and administrative systems, relevant case-specific information on matters such as authorized producers, dealers,</w:t>
      </w:r>
      <w:r>
        <w:rPr>
          <w:sz w:val="26"/>
        </w:rPr>
        <w:t xml:space="preserve"> importers, exporters and, </w:t>
      </w:r>
      <w:r>
        <w:rPr>
          <w:sz w:val="26"/>
        </w:rPr>
        <w:lastRenderedPageBreak/>
        <w:t>whenever possible, carriers of firearms, their parts and components and ammunition.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 xml:space="preserve">Without prejudice to articles 27 and 28 of the Convention, States Parties shall exchange among themselves, consistent with their respective </w:t>
      </w:r>
      <w:r>
        <w:rPr>
          <w:sz w:val="26"/>
        </w:rPr>
        <w:t>domestic legal and administrative systems, relevant information on matters such as:</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Organized criminal groups known to take part or suspected of taking part in the illicit manufacturing of or trafficking in firearms, their parts and components and am</w:t>
      </w:r>
      <w:r>
        <w:rPr>
          <w:sz w:val="26"/>
        </w:rPr>
        <w:t>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The means of concealment used in the illicit manufacturing of or trafficking in firearms, their parts and components and ammunition and ways of detecting them;</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c</w:t>
      </w:r>
      <w:r>
        <w:rPr>
          <w:sz w:val="26"/>
        </w:rPr>
        <w:t>)</w:t>
      </w:r>
      <w:r>
        <w:rPr>
          <w:sz w:val="26"/>
        </w:rPr>
        <w:tab/>
        <w:t>Methods and means, points of dispatch and destination and routes customari</w:t>
      </w:r>
      <w:r>
        <w:rPr>
          <w:sz w:val="26"/>
        </w:rPr>
        <w:t>ly used by organized criminal groups engaged in illicit trafficking in firearms, their parts and components and ammunition; and</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d</w:t>
      </w:r>
      <w:r>
        <w:rPr>
          <w:sz w:val="26"/>
        </w:rPr>
        <w:t>)</w:t>
      </w:r>
      <w:r>
        <w:rPr>
          <w:sz w:val="26"/>
        </w:rPr>
        <w:tab/>
        <w:t>Legislative experiences and practices and measures to prevent, combat and eradicate the illicit manufacturing of and traff</w:t>
      </w:r>
      <w:r>
        <w:rPr>
          <w:sz w:val="26"/>
        </w:rPr>
        <w:t>icking in firearms, their parts and components and ammunition.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3.</w:t>
      </w:r>
      <w:r>
        <w:rPr>
          <w:sz w:val="26"/>
        </w:rPr>
        <w:tab/>
        <w:t>States Parties shall provide to or share with each other, as appropriate, relevant scientific and technological information useful to law enforcement authorities in order to enhance each o</w:t>
      </w:r>
      <w:r>
        <w:rPr>
          <w:sz w:val="26"/>
        </w:rPr>
        <w:t>ther’s abilities to prevent, detect and investigate the illicit manufacturing of and trafficking in firearms, their parts and components and ammunition and to prosecute the persons involved in those illicit activities.</w:t>
      </w:r>
    </w:p>
    <w:p w:rsidR="00000000" w:rsidRDefault="001F69C8">
      <w:pPr>
        <w:spacing w:line="300" w:lineRule="exact"/>
        <w:jc w:val="both"/>
        <w:rPr>
          <w:sz w:val="26"/>
        </w:rPr>
      </w:pPr>
    </w:p>
    <w:p w:rsidR="00000000" w:rsidRDefault="001F69C8">
      <w:pPr>
        <w:spacing w:line="300" w:lineRule="exact"/>
        <w:jc w:val="both"/>
        <w:rPr>
          <w:sz w:val="26"/>
        </w:rPr>
      </w:pPr>
      <w:r>
        <w:rPr>
          <w:sz w:val="26"/>
        </w:rPr>
        <w:tab/>
        <w:t>4.</w:t>
      </w:r>
      <w:r>
        <w:rPr>
          <w:sz w:val="26"/>
        </w:rPr>
        <w:tab/>
        <w:t>States Parties shall cooperate i</w:t>
      </w:r>
      <w:r>
        <w:rPr>
          <w:sz w:val="26"/>
        </w:rPr>
        <w:t xml:space="preserve">n the tracing of firearms, their parts and components and ammunition that may have been illicitly manufactured or trafficked. Such cooperation shall include the provision of prompt responses to requests for assistance in tracing such firearms, their parts </w:t>
      </w:r>
      <w:r>
        <w:rPr>
          <w:sz w:val="26"/>
        </w:rPr>
        <w:t>and components and ammunition, within available means.</w:t>
      </w:r>
    </w:p>
    <w:p w:rsidR="00000000" w:rsidRDefault="001F69C8">
      <w:pPr>
        <w:spacing w:line="300" w:lineRule="exact"/>
        <w:jc w:val="both"/>
        <w:rPr>
          <w:sz w:val="26"/>
        </w:rPr>
      </w:pPr>
    </w:p>
    <w:p w:rsidR="00000000" w:rsidRDefault="001F69C8">
      <w:pPr>
        <w:spacing w:line="300" w:lineRule="exact"/>
        <w:jc w:val="both"/>
        <w:rPr>
          <w:sz w:val="26"/>
        </w:rPr>
      </w:pPr>
      <w:r>
        <w:rPr>
          <w:sz w:val="26"/>
        </w:rPr>
        <w:tab/>
        <w:t>5.</w:t>
      </w:r>
      <w:r>
        <w:rPr>
          <w:sz w:val="26"/>
        </w:rPr>
        <w:tab/>
        <w:t>Subject to the basic concepts of its legal system or any international agreements, each State Party shall guarantee the confidentiality of and comply with any restrictions on the use of informatio</w:t>
      </w:r>
      <w:r>
        <w:rPr>
          <w:sz w:val="26"/>
        </w:rPr>
        <w:t>n that it receives from another State Party pursuant to this article, including proprietary information pertaining to commercial transactions, if requested to do so by the State Party providing the information. If such confidentiality cannot be maintained,</w:t>
      </w:r>
      <w:r>
        <w:rPr>
          <w:sz w:val="26"/>
        </w:rPr>
        <w:t xml:space="preserve"> the State Party that provided the information shall be notified prior to its disclosure.</w:t>
      </w:r>
    </w:p>
    <w:p w:rsidR="00000000" w:rsidRDefault="001F69C8">
      <w:pPr>
        <w:spacing w:line="300" w:lineRule="exact"/>
        <w:jc w:val="center"/>
        <w:rPr>
          <w:i/>
          <w:sz w:val="26"/>
        </w:rPr>
      </w:pPr>
      <w:r>
        <w:rPr>
          <w:i/>
          <w:sz w:val="26"/>
        </w:rPr>
        <w:lastRenderedPageBreak/>
        <w:t>Article 13</w:t>
      </w:r>
    </w:p>
    <w:p w:rsidR="00000000" w:rsidRDefault="001F69C8">
      <w:pPr>
        <w:spacing w:line="300" w:lineRule="exact"/>
        <w:jc w:val="center"/>
        <w:rPr>
          <w:i/>
          <w:sz w:val="26"/>
        </w:rPr>
      </w:pPr>
      <w:r>
        <w:rPr>
          <w:i/>
          <w:sz w:val="26"/>
        </w:rPr>
        <w:t>Cooperation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States Parties shall cooperate at the bilateral, regional and international levels to prevent, combat and eradicate the illicit manufactur</w:t>
      </w:r>
      <w:r>
        <w:rPr>
          <w:sz w:val="26"/>
        </w:rPr>
        <w:t>ing of and trafficking in firearms, their parts and components and ammunition.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 xml:space="preserve">Without prejudice to article 18, paragraph 13, of the Convention, each State Party shall identify a national body or a single point of contact to act as liaison between it </w:t>
      </w:r>
      <w:r>
        <w:rPr>
          <w:sz w:val="26"/>
        </w:rPr>
        <w:t>and other States Parties on matters relating to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tab/>
        <w:t>3.</w:t>
      </w:r>
      <w:r>
        <w:rPr>
          <w:sz w:val="26"/>
        </w:rPr>
        <w:tab/>
        <w:t>States Parties shall seek the support and cooperation of manufacturers, dealers, importers, exporters, brokers and commercial carriers of firearms, their parts and components and ammunitio</w:t>
      </w:r>
      <w:r>
        <w:rPr>
          <w:sz w:val="26"/>
        </w:rPr>
        <w:t>n to prevent and detect the illicit activities referred to in paragraph 1 of this article.</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14</w:t>
      </w:r>
    </w:p>
    <w:p w:rsidR="00000000" w:rsidRDefault="001F69C8">
      <w:pPr>
        <w:spacing w:line="300" w:lineRule="exact"/>
        <w:jc w:val="center"/>
        <w:rPr>
          <w:i/>
          <w:sz w:val="26"/>
        </w:rPr>
      </w:pPr>
      <w:r>
        <w:rPr>
          <w:i/>
          <w:sz w:val="26"/>
        </w:rPr>
        <w:t>Training and technical assistance</w:t>
      </w:r>
    </w:p>
    <w:p w:rsidR="00000000" w:rsidRDefault="001F69C8">
      <w:pPr>
        <w:spacing w:line="300" w:lineRule="exact"/>
        <w:jc w:val="both"/>
        <w:rPr>
          <w:sz w:val="26"/>
        </w:rPr>
      </w:pPr>
    </w:p>
    <w:p w:rsidR="00000000" w:rsidRDefault="001F69C8">
      <w:pPr>
        <w:spacing w:line="300" w:lineRule="exact"/>
        <w:jc w:val="both"/>
        <w:rPr>
          <w:sz w:val="26"/>
        </w:rPr>
      </w:pPr>
      <w:r>
        <w:rPr>
          <w:sz w:val="26"/>
        </w:rPr>
        <w:tab/>
        <w:t>States Parties shall cooperate with each other and with relevant international organizations, as appropriate, so that</w:t>
      </w:r>
      <w:r>
        <w:rPr>
          <w:sz w:val="26"/>
        </w:rPr>
        <w:t xml:space="preserve"> States Parties may receive, upon request, the training and technical assistance necessary to enhance their ability to prevent, combat and eradicate the illicit manufacturing of and trafficking in firearms, their parts and components and ammunition, includ</w:t>
      </w:r>
      <w:r>
        <w:rPr>
          <w:sz w:val="26"/>
        </w:rPr>
        <w:t>ing technical, financial and material assistance in those matters identified in articles 29 and 30 of the Convention.</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15</w:t>
      </w:r>
    </w:p>
    <w:p w:rsidR="00000000" w:rsidRDefault="001F69C8">
      <w:pPr>
        <w:spacing w:line="300" w:lineRule="exact"/>
        <w:jc w:val="center"/>
        <w:rPr>
          <w:i/>
          <w:sz w:val="26"/>
        </w:rPr>
      </w:pPr>
      <w:r>
        <w:rPr>
          <w:i/>
          <w:sz w:val="26"/>
        </w:rPr>
        <w:t>Brokers and brokering</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With a view to preventing and combating illicit manufacturing of and trafficking in firearms, their</w:t>
      </w:r>
      <w:r>
        <w:rPr>
          <w:sz w:val="26"/>
        </w:rPr>
        <w:t xml:space="preserve"> parts and components and ammunition, States Parties that have not yet done so shall consider establishing a system for regulating the activities of those who engage in brokering. Such a system could include one or more measures such as:</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a</w:t>
      </w:r>
      <w:r>
        <w:rPr>
          <w:sz w:val="26"/>
        </w:rPr>
        <w:t>)</w:t>
      </w:r>
      <w:r>
        <w:rPr>
          <w:sz w:val="26"/>
        </w:rPr>
        <w:tab/>
        <w:t>Requiring re</w:t>
      </w:r>
      <w:r>
        <w:rPr>
          <w:sz w:val="26"/>
        </w:rPr>
        <w:t>gistration of brokers operating within their territory;</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b</w:t>
      </w:r>
      <w:r>
        <w:rPr>
          <w:sz w:val="26"/>
        </w:rPr>
        <w:t>)</w:t>
      </w:r>
      <w:r>
        <w:rPr>
          <w:sz w:val="26"/>
        </w:rPr>
        <w:tab/>
        <w:t>Requiring licensing or authorization of brokering; or</w:t>
      </w:r>
    </w:p>
    <w:p w:rsidR="00000000" w:rsidRDefault="001F69C8">
      <w:pPr>
        <w:spacing w:line="300" w:lineRule="exact"/>
        <w:jc w:val="both"/>
        <w:rPr>
          <w:sz w:val="26"/>
        </w:rPr>
      </w:pPr>
    </w:p>
    <w:p w:rsidR="00000000" w:rsidRDefault="001F69C8">
      <w:pPr>
        <w:spacing w:line="300" w:lineRule="exact"/>
        <w:jc w:val="both"/>
        <w:rPr>
          <w:sz w:val="26"/>
        </w:rPr>
      </w:pPr>
      <w:r>
        <w:rPr>
          <w:sz w:val="26"/>
        </w:rPr>
        <w:tab/>
        <w:t>(</w:t>
      </w:r>
      <w:r>
        <w:rPr>
          <w:i/>
          <w:sz w:val="26"/>
        </w:rPr>
        <w:t>c</w:t>
      </w:r>
      <w:r>
        <w:rPr>
          <w:sz w:val="26"/>
        </w:rPr>
        <w:t>)</w:t>
      </w:r>
      <w:r>
        <w:rPr>
          <w:sz w:val="26"/>
        </w:rPr>
        <w:tab/>
        <w:t>Requiring disclosure on import and export licences or authorizations, or accompanying documents, of the names and locations of brokers</w:t>
      </w:r>
      <w:r>
        <w:rPr>
          <w:sz w:val="26"/>
        </w:rPr>
        <w:t xml:space="preserve"> involved in the transaction.</w:t>
      </w:r>
    </w:p>
    <w:p w:rsidR="00000000" w:rsidRDefault="001F69C8">
      <w:pPr>
        <w:spacing w:line="300" w:lineRule="exact"/>
        <w:jc w:val="both"/>
        <w:rPr>
          <w:sz w:val="26"/>
        </w:rPr>
      </w:pPr>
    </w:p>
    <w:p w:rsidR="00000000" w:rsidRDefault="001F69C8">
      <w:pPr>
        <w:spacing w:line="300" w:lineRule="exact"/>
        <w:jc w:val="both"/>
        <w:rPr>
          <w:sz w:val="26"/>
        </w:rPr>
      </w:pPr>
      <w:r>
        <w:rPr>
          <w:sz w:val="26"/>
        </w:rPr>
        <w:lastRenderedPageBreak/>
        <w:tab/>
        <w:t>2.</w:t>
      </w:r>
      <w:r>
        <w:rPr>
          <w:sz w:val="26"/>
        </w:rPr>
        <w:tab/>
        <w:t>States Parties that have established a system of authorization regarding brokering as set forth in paragraph 1 of this article are encouraged to include information on brokers and brokering in their exchanges of informati</w:t>
      </w:r>
      <w:r>
        <w:rPr>
          <w:sz w:val="26"/>
        </w:rPr>
        <w:t>on under article 12 of this Protocol and to retain records regarding brokers and brokering in accordance with article 7 of this Protocol.</w:t>
      </w:r>
    </w:p>
    <w:p w:rsidR="00000000" w:rsidRDefault="001F69C8">
      <w:pPr>
        <w:spacing w:line="300" w:lineRule="exact"/>
        <w:jc w:val="both"/>
        <w:rPr>
          <w:sz w:val="26"/>
        </w:rPr>
      </w:pPr>
    </w:p>
    <w:p w:rsidR="00000000" w:rsidRDefault="001F69C8">
      <w:pPr>
        <w:spacing w:line="300" w:lineRule="exact"/>
        <w:jc w:val="both"/>
        <w:rPr>
          <w:sz w:val="26"/>
        </w:rPr>
      </w:pPr>
    </w:p>
    <w:p w:rsidR="00000000" w:rsidRDefault="001F69C8">
      <w:pPr>
        <w:spacing w:line="300" w:lineRule="exact"/>
        <w:jc w:val="center"/>
        <w:rPr>
          <w:sz w:val="26"/>
        </w:rPr>
      </w:pPr>
      <w:r>
        <w:rPr>
          <w:sz w:val="26"/>
        </w:rPr>
        <w:t>III. Final provisions</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16</w:t>
      </w:r>
    </w:p>
    <w:p w:rsidR="00000000" w:rsidRDefault="001F69C8">
      <w:pPr>
        <w:spacing w:line="300" w:lineRule="exact"/>
        <w:jc w:val="center"/>
        <w:rPr>
          <w:i/>
          <w:sz w:val="26"/>
        </w:rPr>
      </w:pPr>
      <w:r>
        <w:rPr>
          <w:i/>
          <w:sz w:val="26"/>
        </w:rPr>
        <w:t>Settlement of disputes</w:t>
      </w:r>
    </w:p>
    <w:p w:rsidR="00000000" w:rsidRDefault="001F69C8">
      <w:pPr>
        <w:spacing w:line="300" w:lineRule="exact"/>
        <w:jc w:val="both"/>
        <w:rPr>
          <w:sz w:val="26"/>
        </w:rPr>
      </w:pPr>
    </w:p>
    <w:p w:rsidR="00000000" w:rsidRDefault="001F69C8">
      <w:pPr>
        <w:spacing w:line="300" w:lineRule="exact"/>
        <w:jc w:val="both"/>
        <w:rPr>
          <w:sz w:val="26"/>
        </w:rPr>
      </w:pPr>
      <w:r>
        <w:rPr>
          <w:sz w:val="26"/>
        </w:rPr>
        <w:tab/>
      </w:r>
      <w:proofErr w:type="gramStart"/>
      <w:r>
        <w:rPr>
          <w:sz w:val="26"/>
        </w:rPr>
        <w:t>l.</w:t>
      </w:r>
      <w:r>
        <w:rPr>
          <w:sz w:val="26"/>
        </w:rPr>
        <w:tab/>
        <w:t>States</w:t>
      </w:r>
      <w:proofErr w:type="gramEnd"/>
      <w:r>
        <w:rPr>
          <w:sz w:val="26"/>
        </w:rPr>
        <w:t xml:space="preserve"> Parties shall endeavour to settle disputes conc</w:t>
      </w:r>
      <w:r>
        <w:rPr>
          <w:sz w:val="26"/>
        </w:rPr>
        <w:t>erning the interpretation or application of this Protocol through negotiation.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 xml:space="preserve">Any dispute between two or more States Parties concerning the interpretation or application of this Protocol that cannot be settled through negotiation within a reasonable </w:t>
      </w:r>
      <w:r>
        <w:rPr>
          <w:sz w:val="26"/>
        </w:rPr>
        <w:t>time shall, at the request of one of those States Parties, be submitted to arbitration. If, six months after the date of the request for arbitration, those States Parties are unable to agree on the organization of the arbitration, any one of those States P</w:t>
      </w:r>
      <w:r>
        <w:rPr>
          <w:sz w:val="26"/>
        </w:rPr>
        <w:t>arties may refer the dispute to the International Court of Justice by request in accordance with the Statute of the Court.</w:t>
      </w:r>
    </w:p>
    <w:p w:rsidR="00000000" w:rsidRDefault="001F69C8">
      <w:pPr>
        <w:spacing w:line="300" w:lineRule="exact"/>
        <w:jc w:val="both"/>
        <w:rPr>
          <w:sz w:val="26"/>
        </w:rPr>
      </w:pPr>
    </w:p>
    <w:p w:rsidR="00000000" w:rsidRDefault="001F69C8">
      <w:pPr>
        <w:spacing w:line="300" w:lineRule="exact"/>
        <w:jc w:val="both"/>
        <w:rPr>
          <w:sz w:val="26"/>
        </w:rPr>
      </w:pPr>
      <w:r>
        <w:rPr>
          <w:sz w:val="26"/>
        </w:rPr>
        <w:tab/>
        <w:t>3.</w:t>
      </w:r>
      <w:r>
        <w:rPr>
          <w:sz w:val="26"/>
        </w:rPr>
        <w:tab/>
        <w:t>Each State Party may, at the time of signature, ratification, acceptance or approval of or accession to this Protocol, declare t</w:t>
      </w:r>
      <w:r>
        <w:rPr>
          <w:sz w:val="26"/>
        </w:rPr>
        <w:t xml:space="preserve">hat it does not consider itself bound by paragraph 2 of this article. The other States Parties shall not be bound by paragraph 2 of this article with respect to any State Party that has made such a reservation. </w:t>
      </w:r>
    </w:p>
    <w:p w:rsidR="00000000" w:rsidRDefault="001F69C8">
      <w:pPr>
        <w:spacing w:line="300" w:lineRule="exact"/>
        <w:jc w:val="both"/>
        <w:rPr>
          <w:sz w:val="26"/>
        </w:rPr>
      </w:pPr>
    </w:p>
    <w:p w:rsidR="00000000" w:rsidRDefault="001F69C8">
      <w:pPr>
        <w:spacing w:line="300" w:lineRule="exact"/>
        <w:jc w:val="both"/>
        <w:rPr>
          <w:sz w:val="26"/>
        </w:rPr>
      </w:pPr>
      <w:r>
        <w:rPr>
          <w:sz w:val="26"/>
        </w:rPr>
        <w:tab/>
        <w:t>4.</w:t>
      </w:r>
      <w:r>
        <w:rPr>
          <w:sz w:val="26"/>
        </w:rPr>
        <w:tab/>
        <w:t>Any State Party that has made a reserva</w:t>
      </w:r>
      <w:r>
        <w:rPr>
          <w:sz w:val="26"/>
        </w:rPr>
        <w:t>tion in accordance with paragraph 3 of this article may at any time withdraw that reservation by notification to the Secretary-General of the United Nations.</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17</w:t>
      </w:r>
    </w:p>
    <w:p w:rsidR="00000000" w:rsidRDefault="001F69C8">
      <w:pPr>
        <w:spacing w:line="300" w:lineRule="exact"/>
        <w:jc w:val="center"/>
        <w:rPr>
          <w:i/>
          <w:sz w:val="26"/>
        </w:rPr>
      </w:pPr>
      <w:r>
        <w:rPr>
          <w:i/>
          <w:sz w:val="26"/>
        </w:rPr>
        <w:t>Signature, ratification, acceptance, approva</w:t>
      </w:r>
      <w:r>
        <w:rPr>
          <w:i/>
          <w:sz w:val="26"/>
        </w:rPr>
        <w:br/>
        <w:t xml:space="preserve"> and accession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This Protocol shall b</w:t>
      </w:r>
      <w:r>
        <w:rPr>
          <w:sz w:val="26"/>
        </w:rPr>
        <w:t>e open to all States for signature at United Nations Headquarters in New York from the thirtieth day after its adoption by the General Assembly until 12 December 2002.</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This Protocol shall also be open for signature by regional economic integration org</w:t>
      </w:r>
      <w:r>
        <w:rPr>
          <w:sz w:val="26"/>
        </w:rPr>
        <w:t xml:space="preserve">anizations provided that at least one </w:t>
      </w:r>
      <w:proofErr w:type="gramStart"/>
      <w:r>
        <w:rPr>
          <w:sz w:val="26"/>
        </w:rPr>
        <w:t>member</w:t>
      </w:r>
      <w:proofErr w:type="gramEnd"/>
      <w:r>
        <w:rPr>
          <w:sz w:val="26"/>
        </w:rPr>
        <w:t xml:space="preserve"> State of </w:t>
      </w:r>
      <w:r>
        <w:rPr>
          <w:sz w:val="26"/>
        </w:rPr>
        <w:lastRenderedPageBreak/>
        <w:t>such organization has signed this Protocol in accordance with paragraph 1 of this article.</w:t>
      </w:r>
    </w:p>
    <w:p w:rsidR="00000000" w:rsidRDefault="001F69C8">
      <w:pPr>
        <w:spacing w:line="300" w:lineRule="exact"/>
        <w:jc w:val="both"/>
        <w:rPr>
          <w:sz w:val="26"/>
        </w:rPr>
      </w:pPr>
    </w:p>
    <w:p w:rsidR="00000000" w:rsidRDefault="001F69C8">
      <w:pPr>
        <w:spacing w:line="300" w:lineRule="exact"/>
        <w:jc w:val="both"/>
        <w:rPr>
          <w:sz w:val="26"/>
        </w:rPr>
      </w:pPr>
      <w:r>
        <w:rPr>
          <w:sz w:val="26"/>
        </w:rPr>
        <w:tab/>
        <w:t>3.</w:t>
      </w:r>
      <w:r>
        <w:rPr>
          <w:sz w:val="26"/>
        </w:rPr>
        <w:tab/>
        <w:t xml:space="preserve">This Protocol is subject to ratification, acceptance or approval. Instruments of ratification, acceptance </w:t>
      </w:r>
      <w:r>
        <w:rPr>
          <w:sz w:val="26"/>
        </w:rPr>
        <w:t xml:space="preserve">or approval shall be deposited with the Secretary-General of the United Nations. A regional economic integration organization may deposit its instrument of ratification, acceptance or approval if at least </w:t>
      </w:r>
      <w:proofErr w:type="gramStart"/>
      <w:r>
        <w:rPr>
          <w:sz w:val="26"/>
        </w:rPr>
        <w:t>one of its member States</w:t>
      </w:r>
      <w:proofErr w:type="gramEnd"/>
      <w:r>
        <w:rPr>
          <w:sz w:val="26"/>
        </w:rPr>
        <w:t xml:space="preserve"> has done likewise. In that</w:t>
      </w:r>
      <w:r>
        <w:rPr>
          <w:sz w:val="26"/>
        </w:rPr>
        <w:t xml:space="preserve"> instrument of ratification, acceptance or approval, such organization shall declare the extent of its competence with respect to the matters governed by this Protocol. Such organization shall also inform the depositary of any relevant modification in the </w:t>
      </w:r>
      <w:r>
        <w:rPr>
          <w:sz w:val="26"/>
        </w:rPr>
        <w:t>extent of its competence.</w:t>
      </w:r>
    </w:p>
    <w:p w:rsidR="00000000" w:rsidRDefault="001F69C8">
      <w:pPr>
        <w:spacing w:line="300" w:lineRule="exact"/>
        <w:jc w:val="both"/>
        <w:rPr>
          <w:sz w:val="26"/>
        </w:rPr>
      </w:pPr>
    </w:p>
    <w:p w:rsidR="00000000" w:rsidRDefault="001F69C8">
      <w:pPr>
        <w:spacing w:line="300" w:lineRule="exact"/>
        <w:jc w:val="both"/>
        <w:rPr>
          <w:sz w:val="26"/>
        </w:rPr>
      </w:pPr>
      <w:r>
        <w:rPr>
          <w:sz w:val="26"/>
        </w:rPr>
        <w:tab/>
        <w:t>4.</w:t>
      </w:r>
      <w:r>
        <w:rPr>
          <w:sz w:val="26"/>
        </w:rPr>
        <w:tab/>
        <w:t xml:space="preserve">This Protocol is open for accession by any State or any regional economic integration organization of which at least one </w:t>
      </w:r>
      <w:proofErr w:type="gramStart"/>
      <w:r>
        <w:rPr>
          <w:sz w:val="26"/>
        </w:rPr>
        <w:t>member</w:t>
      </w:r>
      <w:proofErr w:type="gramEnd"/>
      <w:r>
        <w:rPr>
          <w:sz w:val="26"/>
        </w:rPr>
        <w:t xml:space="preserve"> State is a Party to this Protocol. Instruments of accession shall be deposited with the Secretary</w:t>
      </w:r>
      <w:r>
        <w:rPr>
          <w:sz w:val="26"/>
        </w:rPr>
        <w:t>-General of the United Nations. At the time of its accession, a regional economic integration organization shall declare the extent of its competence with respect to matters governed by this Protocol. Such organization shall also inform the depositary of a</w:t>
      </w:r>
      <w:r>
        <w:rPr>
          <w:sz w:val="26"/>
        </w:rPr>
        <w:t>ny relevant modification in the extent of its competence.</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18</w:t>
      </w:r>
    </w:p>
    <w:p w:rsidR="00000000" w:rsidRDefault="001F69C8">
      <w:pPr>
        <w:spacing w:line="300" w:lineRule="exact"/>
        <w:jc w:val="center"/>
        <w:rPr>
          <w:i/>
          <w:sz w:val="26"/>
        </w:rPr>
      </w:pPr>
      <w:r>
        <w:rPr>
          <w:i/>
          <w:sz w:val="26"/>
        </w:rPr>
        <w:t>Entry into force</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This Protocol shall enter into force on the ninetieth day after the date of deposit of the fortieth instrument of ratification, acceptance, approval or accession, e</w:t>
      </w:r>
      <w:r>
        <w:rPr>
          <w:sz w:val="26"/>
        </w:rPr>
        <w:t>xcept that it shall not enter into force before the entry into force of the Convention. For the purpose of this paragraph, any instrument deposited by a regional economic integration organization shall not be counted as additional to those deposited by mem</w:t>
      </w:r>
      <w:r>
        <w:rPr>
          <w:sz w:val="26"/>
        </w:rPr>
        <w:t>ber States of such organization.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For each State or regional economic integration organization ratifying, accepting, approving or acceding to this Protocol after the deposit of the fortieth instrument of such action, this Protocol shall enter into forc</w:t>
      </w:r>
      <w:r>
        <w:rPr>
          <w:sz w:val="26"/>
        </w:rPr>
        <w:t>e on the thirtieth day after the date of deposit by such State or organization of the relevant instrument or on the date this Protocol enters into force pursuant to paragraph 1 of this article, whichever is the later.</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19</w:t>
      </w:r>
    </w:p>
    <w:p w:rsidR="00000000" w:rsidRDefault="001F69C8">
      <w:pPr>
        <w:spacing w:line="300" w:lineRule="exact"/>
        <w:jc w:val="center"/>
        <w:rPr>
          <w:i/>
          <w:sz w:val="26"/>
        </w:rPr>
      </w:pPr>
      <w:r>
        <w:rPr>
          <w:i/>
          <w:sz w:val="26"/>
        </w:rPr>
        <w:t>Amendment</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After the e</w:t>
      </w:r>
      <w:r>
        <w:rPr>
          <w:sz w:val="26"/>
        </w:rPr>
        <w:t xml:space="preserve">xpiry of five years from the entry into force of this Protocol, a State Party to the Protocol may propose an amendment and file it with the Secretary-General of the United Nations, who shall thereupon </w:t>
      </w:r>
      <w:r>
        <w:rPr>
          <w:sz w:val="26"/>
        </w:rPr>
        <w:lastRenderedPageBreak/>
        <w:t>communicate the proposed amendment to the States Partie</w:t>
      </w:r>
      <w:r>
        <w:rPr>
          <w:sz w:val="26"/>
        </w:rPr>
        <w:t>s and to the Conference of the Parties to the Convention for the purpose of considering and deciding on the proposal. The States Parties to this Protocol meeting at the Conference of the Parties shall make every effort to achieve consensus on each amendmen</w:t>
      </w:r>
      <w:r>
        <w:rPr>
          <w:sz w:val="26"/>
        </w:rPr>
        <w:t>t. If all efforts at consensus have been exhausted and no agreement has been reached, the amendment shall, as a last resort, require for its adoption a two-thirds majority vote of the States Parties to this Protocol present and voting at the meeting of the</w:t>
      </w:r>
      <w:r>
        <w:rPr>
          <w:sz w:val="26"/>
        </w:rPr>
        <w:t xml:space="preserve"> Conference of the Parties.</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Regional economic integration organizations, in matters within their competence, shall exercise their right to vote under this article with a number of votes equal to the number of their member States that are Parties to th</w:t>
      </w:r>
      <w:r>
        <w:rPr>
          <w:sz w:val="26"/>
        </w:rPr>
        <w:t>is Protocol. Such organizations shall not exercise their right to vote if their member States exercise theirs and vice versa.</w:t>
      </w:r>
    </w:p>
    <w:p w:rsidR="00000000" w:rsidRDefault="001F69C8">
      <w:pPr>
        <w:spacing w:line="300" w:lineRule="exact"/>
        <w:jc w:val="both"/>
        <w:rPr>
          <w:sz w:val="26"/>
        </w:rPr>
      </w:pPr>
    </w:p>
    <w:p w:rsidR="00000000" w:rsidRDefault="001F69C8">
      <w:pPr>
        <w:spacing w:line="300" w:lineRule="exact"/>
        <w:jc w:val="both"/>
        <w:rPr>
          <w:sz w:val="26"/>
        </w:rPr>
      </w:pPr>
      <w:r>
        <w:rPr>
          <w:sz w:val="26"/>
        </w:rPr>
        <w:tab/>
        <w:t>3.</w:t>
      </w:r>
      <w:r>
        <w:rPr>
          <w:sz w:val="26"/>
        </w:rPr>
        <w:tab/>
        <w:t>An amendment adopted in accordance with paragraph 1 of this article is subject to ratification, acceptance or approval by Sta</w:t>
      </w:r>
      <w:r>
        <w:rPr>
          <w:sz w:val="26"/>
        </w:rPr>
        <w:t xml:space="preserve">tes Parties. </w:t>
      </w:r>
    </w:p>
    <w:p w:rsidR="00000000" w:rsidRDefault="001F69C8">
      <w:pPr>
        <w:spacing w:line="300" w:lineRule="exact"/>
        <w:jc w:val="both"/>
        <w:rPr>
          <w:sz w:val="26"/>
        </w:rPr>
      </w:pPr>
    </w:p>
    <w:p w:rsidR="00000000" w:rsidRDefault="001F69C8">
      <w:pPr>
        <w:spacing w:line="300" w:lineRule="exact"/>
        <w:jc w:val="both"/>
        <w:rPr>
          <w:sz w:val="26"/>
        </w:rPr>
      </w:pPr>
      <w:r>
        <w:rPr>
          <w:sz w:val="26"/>
        </w:rPr>
        <w:tab/>
        <w:t>4.</w:t>
      </w:r>
      <w:r>
        <w:rPr>
          <w:sz w:val="26"/>
        </w:rPr>
        <w:tab/>
        <w:t>An amendment adopted in accordance with paragraph 1 of this article shall enter into force in respect of a State Party ninety days after the date of the deposit with the Secretary-General of the United Nations of an instrument of ratific</w:t>
      </w:r>
      <w:r>
        <w:rPr>
          <w:sz w:val="26"/>
        </w:rPr>
        <w:t>ation, acceptance or approval of such amendment.</w:t>
      </w:r>
    </w:p>
    <w:p w:rsidR="00000000" w:rsidRDefault="001F69C8">
      <w:pPr>
        <w:spacing w:line="300" w:lineRule="exact"/>
        <w:jc w:val="both"/>
        <w:rPr>
          <w:sz w:val="26"/>
        </w:rPr>
      </w:pPr>
    </w:p>
    <w:p w:rsidR="00000000" w:rsidRDefault="001F69C8">
      <w:pPr>
        <w:spacing w:line="300" w:lineRule="exact"/>
        <w:jc w:val="both"/>
        <w:rPr>
          <w:sz w:val="26"/>
        </w:rPr>
      </w:pPr>
      <w:r>
        <w:rPr>
          <w:sz w:val="26"/>
        </w:rPr>
        <w:tab/>
        <w:t>5.</w:t>
      </w:r>
      <w:r>
        <w:rPr>
          <w:sz w:val="26"/>
        </w:rPr>
        <w:tab/>
        <w:t>When an amendment enters into force, it shall be binding on those States Parties which have expressed their consent to be bound by it. Other States Parties shall still be bound by the provisions of this</w:t>
      </w:r>
      <w:r>
        <w:rPr>
          <w:sz w:val="26"/>
        </w:rPr>
        <w:t xml:space="preserve"> Protocol and any earlier amendments that they have ratified, accepted or approved.</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20</w:t>
      </w:r>
    </w:p>
    <w:p w:rsidR="00000000" w:rsidRDefault="001F69C8">
      <w:pPr>
        <w:spacing w:line="300" w:lineRule="exact"/>
        <w:jc w:val="center"/>
        <w:rPr>
          <w:i/>
          <w:sz w:val="26"/>
        </w:rPr>
      </w:pPr>
      <w:r>
        <w:rPr>
          <w:i/>
          <w:sz w:val="26"/>
        </w:rPr>
        <w:t>Denunciation</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A State Party may denounce this Protocol by written notification to the Secretary-General of the United Nations. Such denunciation shall becom</w:t>
      </w:r>
      <w:r>
        <w:rPr>
          <w:sz w:val="26"/>
        </w:rPr>
        <w:t>e effective one year after the date of receipt of the notification by the Secretary-General.</w:t>
      </w:r>
    </w:p>
    <w:p w:rsidR="00000000" w:rsidRDefault="001F69C8">
      <w:pPr>
        <w:spacing w:line="300" w:lineRule="exact"/>
        <w:jc w:val="both"/>
        <w:rPr>
          <w:sz w:val="26"/>
        </w:rPr>
      </w:pPr>
    </w:p>
    <w:p w:rsidR="00000000" w:rsidRDefault="001F69C8">
      <w:pPr>
        <w:spacing w:line="300" w:lineRule="exact"/>
        <w:jc w:val="both"/>
        <w:rPr>
          <w:sz w:val="26"/>
        </w:rPr>
      </w:pPr>
      <w:r>
        <w:rPr>
          <w:sz w:val="26"/>
        </w:rPr>
        <w:tab/>
        <w:t>2.</w:t>
      </w:r>
      <w:r>
        <w:rPr>
          <w:sz w:val="26"/>
        </w:rPr>
        <w:tab/>
        <w:t>A regional economic integration organization shall cease to be a Party to this Protocol when all of its member States have denounced it.</w:t>
      </w:r>
    </w:p>
    <w:p w:rsidR="00000000" w:rsidRDefault="001F69C8">
      <w:pPr>
        <w:spacing w:line="300" w:lineRule="exact"/>
        <w:jc w:val="both"/>
        <w:rPr>
          <w:sz w:val="26"/>
        </w:rPr>
      </w:pPr>
    </w:p>
    <w:p w:rsidR="00000000" w:rsidRDefault="001F69C8">
      <w:pPr>
        <w:spacing w:line="300" w:lineRule="exact"/>
        <w:jc w:val="center"/>
        <w:rPr>
          <w:i/>
          <w:sz w:val="26"/>
        </w:rPr>
      </w:pPr>
      <w:r>
        <w:rPr>
          <w:i/>
          <w:sz w:val="26"/>
        </w:rPr>
        <w:t>Article 21</w:t>
      </w:r>
    </w:p>
    <w:p w:rsidR="00000000" w:rsidRDefault="001F69C8">
      <w:pPr>
        <w:spacing w:line="300" w:lineRule="exact"/>
        <w:jc w:val="center"/>
        <w:rPr>
          <w:i/>
          <w:sz w:val="26"/>
        </w:rPr>
      </w:pPr>
      <w:r>
        <w:rPr>
          <w:i/>
          <w:sz w:val="26"/>
        </w:rPr>
        <w:t>Depositar</w:t>
      </w:r>
      <w:r>
        <w:rPr>
          <w:i/>
          <w:sz w:val="26"/>
        </w:rPr>
        <w:t>y and languages</w:t>
      </w:r>
    </w:p>
    <w:p w:rsidR="00000000" w:rsidRDefault="001F69C8">
      <w:pPr>
        <w:spacing w:line="300" w:lineRule="exact"/>
        <w:jc w:val="both"/>
        <w:rPr>
          <w:sz w:val="26"/>
        </w:rPr>
      </w:pPr>
    </w:p>
    <w:p w:rsidR="00000000" w:rsidRDefault="001F69C8">
      <w:pPr>
        <w:spacing w:line="300" w:lineRule="exact"/>
        <w:jc w:val="both"/>
        <w:rPr>
          <w:sz w:val="26"/>
        </w:rPr>
      </w:pPr>
      <w:r>
        <w:rPr>
          <w:sz w:val="26"/>
        </w:rPr>
        <w:tab/>
        <w:t>1.</w:t>
      </w:r>
      <w:r>
        <w:rPr>
          <w:sz w:val="26"/>
        </w:rPr>
        <w:tab/>
        <w:t>The Secretary-General of the United Nations is designated depositary of this Protocol.</w:t>
      </w:r>
    </w:p>
    <w:p w:rsidR="00000000" w:rsidRDefault="001F69C8">
      <w:pPr>
        <w:spacing w:line="300" w:lineRule="exact"/>
        <w:jc w:val="both"/>
        <w:rPr>
          <w:sz w:val="26"/>
        </w:rPr>
      </w:pPr>
    </w:p>
    <w:p w:rsidR="00000000" w:rsidRDefault="001F69C8">
      <w:pPr>
        <w:spacing w:line="300" w:lineRule="exact"/>
        <w:jc w:val="both"/>
        <w:rPr>
          <w:sz w:val="26"/>
        </w:rPr>
      </w:pPr>
      <w:r>
        <w:rPr>
          <w:sz w:val="26"/>
        </w:rPr>
        <w:lastRenderedPageBreak/>
        <w:tab/>
        <w:t>2.</w:t>
      </w:r>
      <w:r>
        <w:rPr>
          <w:sz w:val="26"/>
        </w:rPr>
        <w:tab/>
        <w:t>The original of this Protocol, of which the Arabic, Chinese, English, French, Russian and Spanish texts are equally authentic, shall be deposit</w:t>
      </w:r>
      <w:r>
        <w:rPr>
          <w:sz w:val="26"/>
        </w:rPr>
        <w:t>ed with the Secretary-General of the United Nations.</w:t>
      </w:r>
    </w:p>
    <w:p w:rsidR="00000000" w:rsidRDefault="001F69C8">
      <w:pPr>
        <w:spacing w:line="300" w:lineRule="exact"/>
        <w:jc w:val="both"/>
        <w:rPr>
          <w:sz w:val="26"/>
        </w:rPr>
      </w:pPr>
    </w:p>
    <w:p w:rsidR="00000000" w:rsidRDefault="001F69C8">
      <w:pPr>
        <w:spacing w:line="300" w:lineRule="exact"/>
        <w:jc w:val="both"/>
        <w:rPr>
          <w:sz w:val="26"/>
        </w:rPr>
      </w:pPr>
      <w:r>
        <w:rPr>
          <w:sz w:val="26"/>
        </w:rPr>
        <w:tab/>
        <w:t>IN WITNESS WHEREOF, the undersigned plenipotentiaries, being duly authorized thereto by their respective Governments, have signed this Protocol.</w:t>
      </w:r>
    </w:p>
    <w:p w:rsidR="001F69C8" w:rsidRDefault="001F69C8">
      <w:pPr>
        <w:spacing w:line="300" w:lineRule="exact"/>
        <w:jc w:val="both"/>
        <w:rPr>
          <w:sz w:val="26"/>
        </w:rPr>
      </w:pPr>
    </w:p>
    <w:sectPr w:rsidR="001F69C8">
      <w:footerReference w:type="first" r:id="rId13"/>
      <w:pgSz w:w="14573" w:h="20635" w:code="12"/>
      <w:pgMar w:top="2520" w:right="2880" w:bottom="4320" w:left="2880" w:header="0" w:footer="3888" w:gutter="0"/>
      <w:paperSrc w:first="4" w:other="4"/>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9C8" w:rsidRDefault="001F69C8">
      <w:pPr>
        <w:spacing w:line="240" w:lineRule="auto"/>
      </w:pPr>
      <w:r>
        <w:separator/>
      </w:r>
    </w:p>
  </w:endnote>
  <w:endnote w:type="continuationSeparator" w:id="0">
    <w:p w:rsidR="001F69C8" w:rsidRDefault="001F69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Piedepgina"/>
      <w:spacing w:before="240"/>
      <w:jc w:val="center"/>
      <w:rPr>
        <w:b w:val="0"/>
        <w:sz w:val="26"/>
      </w:rPr>
    </w:pPr>
    <w:r>
      <w:rPr>
        <w:b w:val="0"/>
        <w:sz w:val="26"/>
      </w:rPr>
      <w:t xml:space="preserve">– </w:t>
    </w:r>
    <w:r>
      <w:rPr>
        <w:rStyle w:val="Nmerodepgina"/>
        <w:b w:val="0"/>
        <w:sz w:val="26"/>
      </w:rPr>
      <w:fldChar w:fldCharType="begin"/>
    </w:r>
    <w:r>
      <w:rPr>
        <w:rStyle w:val="Nmerodepgina"/>
        <w:b w:val="0"/>
        <w:sz w:val="26"/>
      </w:rPr>
      <w:instrText xml:space="preserve"> PAGE </w:instrText>
    </w:r>
    <w:r>
      <w:rPr>
        <w:rStyle w:val="Nmerodepgina"/>
        <w:b w:val="0"/>
        <w:sz w:val="26"/>
      </w:rPr>
      <w:fldChar w:fldCharType="separate"/>
    </w:r>
    <w:r w:rsidR="00BD4A05">
      <w:rPr>
        <w:rStyle w:val="Nmerodepgina"/>
        <w:b w:val="0"/>
        <w:sz w:val="26"/>
      </w:rPr>
      <w:t>13</w:t>
    </w:r>
    <w:r>
      <w:rPr>
        <w:rStyle w:val="Nmerodepgina"/>
        <w:b w:val="0"/>
        <w:sz w:val="26"/>
      </w:rPr>
      <w:fldChar w:fldCharType="end"/>
    </w:r>
    <w:r>
      <w:rPr>
        <w:rStyle w:val="Nmerodepgina"/>
        <w:b w:val="0"/>
        <w:sz w:val="2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Piedepgina"/>
      <w:spacing w:before="240"/>
      <w:jc w:val="center"/>
      <w:rPr>
        <w:b w:val="0"/>
        <w:sz w:val="26"/>
      </w:rPr>
    </w:pPr>
    <w:r>
      <w:rPr>
        <w:rStyle w:val="Nmerodepgina"/>
        <w:b w:val="0"/>
        <w:sz w:val="26"/>
      </w:rPr>
      <w:t xml:space="preserve">– </w:t>
    </w:r>
    <w:r>
      <w:rPr>
        <w:rStyle w:val="Nmerodepgina"/>
        <w:b w:val="0"/>
        <w:sz w:val="26"/>
      </w:rPr>
      <w:fldChar w:fldCharType="begin"/>
    </w:r>
    <w:r>
      <w:rPr>
        <w:rStyle w:val="Nmerodepgina"/>
        <w:b w:val="0"/>
        <w:sz w:val="26"/>
      </w:rPr>
      <w:instrText xml:space="preserve"> PAGE </w:instrText>
    </w:r>
    <w:r>
      <w:rPr>
        <w:rStyle w:val="Nmerodepgina"/>
        <w:b w:val="0"/>
        <w:sz w:val="26"/>
      </w:rPr>
      <w:fldChar w:fldCharType="separate"/>
    </w:r>
    <w:r w:rsidR="00BD4A05">
      <w:rPr>
        <w:rStyle w:val="Nmerodepgina"/>
        <w:b w:val="0"/>
        <w:sz w:val="26"/>
      </w:rPr>
      <w:t>2</w:t>
    </w:r>
    <w:r>
      <w:rPr>
        <w:rStyle w:val="Nmerodepgina"/>
        <w:b w:val="0"/>
        <w:sz w:val="26"/>
      </w:rPr>
      <w:fldChar w:fldCharType="end"/>
    </w:r>
    <w:r>
      <w:rPr>
        <w:rStyle w:val="Nmerodepgina"/>
        <w:b w:val="0"/>
        <w:sz w:val="2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9C8" w:rsidRDefault="001F69C8">
      <w:pPr>
        <w:spacing w:line="240" w:lineRule="auto"/>
      </w:pPr>
      <w:r>
        <w:separator/>
      </w:r>
    </w:p>
  </w:footnote>
  <w:footnote w:type="continuationSeparator" w:id="0">
    <w:p w:rsidR="001F69C8" w:rsidRDefault="001F69C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F69C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572B314"/>
    <w:lvl w:ilvl="0">
      <w:start w:val="1"/>
      <w:numFmt w:val="decimal"/>
      <w:pStyle w:val="Listaconnmeros5"/>
      <w:lvlText w:val="%1."/>
      <w:lvlJc w:val="left"/>
      <w:pPr>
        <w:tabs>
          <w:tab w:val="num" w:pos="1800"/>
        </w:tabs>
        <w:ind w:left="1800" w:hanging="360"/>
      </w:pPr>
    </w:lvl>
  </w:abstractNum>
  <w:abstractNum w:abstractNumId="1">
    <w:nsid w:val="FFFFFF7D"/>
    <w:multiLevelType w:val="singleLevel"/>
    <w:tmpl w:val="DCBCA9D6"/>
    <w:lvl w:ilvl="0">
      <w:start w:val="1"/>
      <w:numFmt w:val="decimal"/>
      <w:pStyle w:val="Listaconnmeros4"/>
      <w:lvlText w:val="%1."/>
      <w:lvlJc w:val="left"/>
      <w:pPr>
        <w:tabs>
          <w:tab w:val="num" w:pos="1440"/>
        </w:tabs>
        <w:ind w:left="1440" w:hanging="360"/>
      </w:pPr>
    </w:lvl>
  </w:abstractNum>
  <w:abstractNum w:abstractNumId="2">
    <w:nsid w:val="FFFFFF7E"/>
    <w:multiLevelType w:val="singleLevel"/>
    <w:tmpl w:val="09986ABA"/>
    <w:lvl w:ilvl="0">
      <w:start w:val="1"/>
      <w:numFmt w:val="decimal"/>
      <w:pStyle w:val="Listaconnmeros3"/>
      <w:lvlText w:val="%1."/>
      <w:lvlJc w:val="left"/>
      <w:pPr>
        <w:tabs>
          <w:tab w:val="num" w:pos="1080"/>
        </w:tabs>
        <w:ind w:left="1080" w:hanging="360"/>
      </w:pPr>
    </w:lvl>
  </w:abstractNum>
  <w:abstractNum w:abstractNumId="3">
    <w:nsid w:val="FFFFFF7F"/>
    <w:multiLevelType w:val="singleLevel"/>
    <w:tmpl w:val="249605EE"/>
    <w:lvl w:ilvl="0">
      <w:start w:val="1"/>
      <w:numFmt w:val="decimal"/>
      <w:pStyle w:val="Listaconnmeros2"/>
      <w:lvlText w:val="%1."/>
      <w:lvlJc w:val="left"/>
      <w:pPr>
        <w:tabs>
          <w:tab w:val="num" w:pos="720"/>
        </w:tabs>
        <w:ind w:left="720" w:hanging="360"/>
      </w:pPr>
    </w:lvl>
  </w:abstractNum>
  <w:abstractNum w:abstractNumId="4">
    <w:nsid w:val="FFFFFF80"/>
    <w:multiLevelType w:val="singleLevel"/>
    <w:tmpl w:val="1A14D9E4"/>
    <w:lvl w:ilvl="0">
      <w:start w:val="1"/>
      <w:numFmt w:val="bullet"/>
      <w:pStyle w:val="Listaconvietas5"/>
      <w:lvlText w:val=""/>
      <w:lvlJc w:val="left"/>
      <w:pPr>
        <w:tabs>
          <w:tab w:val="num" w:pos="1800"/>
        </w:tabs>
        <w:ind w:left="1800" w:hanging="360"/>
      </w:pPr>
      <w:rPr>
        <w:rFonts w:ascii="Symbol" w:hAnsi="Symbol" w:hint="default"/>
      </w:rPr>
    </w:lvl>
  </w:abstractNum>
  <w:abstractNum w:abstractNumId="5">
    <w:nsid w:val="FFFFFF81"/>
    <w:multiLevelType w:val="singleLevel"/>
    <w:tmpl w:val="99E45102"/>
    <w:lvl w:ilvl="0">
      <w:start w:val="1"/>
      <w:numFmt w:val="bullet"/>
      <w:pStyle w:val="Listaconvietas4"/>
      <w:lvlText w:val=""/>
      <w:lvlJc w:val="left"/>
      <w:pPr>
        <w:tabs>
          <w:tab w:val="num" w:pos="1440"/>
        </w:tabs>
        <w:ind w:left="1440" w:hanging="360"/>
      </w:pPr>
      <w:rPr>
        <w:rFonts w:ascii="Symbol" w:hAnsi="Symbol" w:hint="default"/>
      </w:rPr>
    </w:lvl>
  </w:abstractNum>
  <w:abstractNum w:abstractNumId="6">
    <w:nsid w:val="FFFFFF82"/>
    <w:multiLevelType w:val="singleLevel"/>
    <w:tmpl w:val="2542E258"/>
    <w:lvl w:ilvl="0">
      <w:start w:val="1"/>
      <w:numFmt w:val="bullet"/>
      <w:pStyle w:val="Listaconvietas3"/>
      <w:lvlText w:val=""/>
      <w:lvlJc w:val="left"/>
      <w:pPr>
        <w:tabs>
          <w:tab w:val="num" w:pos="1080"/>
        </w:tabs>
        <w:ind w:left="1080" w:hanging="360"/>
      </w:pPr>
      <w:rPr>
        <w:rFonts w:ascii="Symbol" w:hAnsi="Symbol" w:hint="default"/>
      </w:rPr>
    </w:lvl>
  </w:abstractNum>
  <w:abstractNum w:abstractNumId="7">
    <w:nsid w:val="FFFFFF83"/>
    <w:multiLevelType w:val="singleLevel"/>
    <w:tmpl w:val="124C6E3C"/>
    <w:lvl w:ilvl="0">
      <w:start w:val="1"/>
      <w:numFmt w:val="bullet"/>
      <w:pStyle w:val="Listaconvietas2"/>
      <w:lvlText w:val=""/>
      <w:lvlJc w:val="left"/>
      <w:pPr>
        <w:tabs>
          <w:tab w:val="num" w:pos="720"/>
        </w:tabs>
        <w:ind w:left="720" w:hanging="360"/>
      </w:pPr>
      <w:rPr>
        <w:rFonts w:ascii="Symbol" w:hAnsi="Symbol" w:hint="default"/>
      </w:rPr>
    </w:lvl>
  </w:abstractNum>
  <w:abstractNum w:abstractNumId="8">
    <w:nsid w:val="FFFFFF88"/>
    <w:multiLevelType w:val="singleLevel"/>
    <w:tmpl w:val="051EB9DE"/>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AE0A3100"/>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6BD3DD9"/>
    <w:multiLevelType w:val="multilevel"/>
    <w:tmpl w:val="B178E954"/>
    <w:lvl w:ilvl="0">
      <w:start w:val="2"/>
      <w:numFmt w:val="decimal"/>
      <w:lvlText w:val="(%1)"/>
      <w:lvlJc w:val="left"/>
      <w:pPr>
        <w:tabs>
          <w:tab w:val="num" w:pos="1155"/>
        </w:tabs>
        <w:ind w:left="1155" w:hanging="79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5EF935AC"/>
    <w:multiLevelType w:val="multilevel"/>
    <w:tmpl w:val="1F06B4FE"/>
    <w:lvl w:ilvl="0">
      <w:start w:val="1"/>
      <w:numFmt w:val="upperLetter"/>
      <w:lvlText w:val="%1."/>
      <w:lvlJc w:val="left"/>
      <w:pPr>
        <w:tabs>
          <w:tab w:val="num" w:pos="3960"/>
        </w:tabs>
        <w:ind w:left="3960" w:hanging="720"/>
      </w:pPr>
      <w:rPr>
        <w:rFonts w:hint="default"/>
        <w:b w:val="0"/>
        <w:sz w:val="24"/>
      </w:rPr>
    </w:lvl>
    <w:lvl w:ilvl="1" w:tentative="1">
      <w:start w:val="1"/>
      <w:numFmt w:val="lowerLetter"/>
      <w:lvlText w:val="%2."/>
      <w:lvlJc w:val="left"/>
      <w:pPr>
        <w:tabs>
          <w:tab w:val="num" w:pos="4320"/>
        </w:tabs>
        <w:ind w:left="4320" w:hanging="360"/>
      </w:pPr>
    </w:lvl>
    <w:lvl w:ilvl="2" w:tentative="1">
      <w:start w:val="1"/>
      <w:numFmt w:val="lowerRoman"/>
      <w:lvlText w:val="%3."/>
      <w:lvlJc w:val="right"/>
      <w:pPr>
        <w:tabs>
          <w:tab w:val="num" w:pos="5040"/>
        </w:tabs>
        <w:ind w:left="5040" w:hanging="180"/>
      </w:pPr>
    </w:lvl>
    <w:lvl w:ilvl="3" w:tentative="1">
      <w:start w:val="1"/>
      <w:numFmt w:val="decimal"/>
      <w:lvlText w:val="%4."/>
      <w:lvlJc w:val="left"/>
      <w:pPr>
        <w:tabs>
          <w:tab w:val="num" w:pos="5760"/>
        </w:tabs>
        <w:ind w:left="5760" w:hanging="360"/>
      </w:pPr>
    </w:lvl>
    <w:lvl w:ilvl="4" w:tentative="1">
      <w:start w:val="1"/>
      <w:numFmt w:val="lowerLetter"/>
      <w:lvlText w:val="%5."/>
      <w:lvlJc w:val="left"/>
      <w:pPr>
        <w:tabs>
          <w:tab w:val="num" w:pos="6480"/>
        </w:tabs>
        <w:ind w:left="6480" w:hanging="360"/>
      </w:pPr>
    </w:lvl>
    <w:lvl w:ilvl="5" w:tentative="1">
      <w:start w:val="1"/>
      <w:numFmt w:val="lowerRoman"/>
      <w:lvlText w:val="%6."/>
      <w:lvlJc w:val="right"/>
      <w:pPr>
        <w:tabs>
          <w:tab w:val="num" w:pos="7200"/>
        </w:tabs>
        <w:ind w:left="7200" w:hanging="180"/>
      </w:pPr>
    </w:lvl>
    <w:lvl w:ilvl="6" w:tentative="1">
      <w:start w:val="1"/>
      <w:numFmt w:val="decimal"/>
      <w:lvlText w:val="%7."/>
      <w:lvlJc w:val="left"/>
      <w:pPr>
        <w:tabs>
          <w:tab w:val="num" w:pos="7920"/>
        </w:tabs>
        <w:ind w:left="7920" w:hanging="360"/>
      </w:pPr>
    </w:lvl>
    <w:lvl w:ilvl="7" w:tentative="1">
      <w:start w:val="1"/>
      <w:numFmt w:val="lowerLetter"/>
      <w:lvlText w:val="%8."/>
      <w:lvlJc w:val="left"/>
      <w:pPr>
        <w:tabs>
          <w:tab w:val="num" w:pos="8640"/>
        </w:tabs>
        <w:ind w:left="8640" w:hanging="360"/>
      </w:pPr>
    </w:lvl>
    <w:lvl w:ilvl="8" w:tentative="1">
      <w:start w:val="1"/>
      <w:numFmt w:val="lowerRoman"/>
      <w:lvlText w:val="%9."/>
      <w:lvlJc w:val="right"/>
      <w:pPr>
        <w:tabs>
          <w:tab w:val="num" w:pos="9360"/>
        </w:tabs>
        <w:ind w:left="9360" w:hanging="180"/>
      </w:p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8" w:dllVersion="513" w:checkStyle="1"/>
  <w:proofState w:grammar="clean"/>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4A05"/>
    <w:rsid w:val="001F69C8"/>
    <w:rsid w:val="00BD4A0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US" w:eastAsia="en-US"/>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spacing w:before="240" w:after="60"/>
      <w:outlineLvl w:val="4"/>
    </w:pPr>
    <w:rPr>
      <w:b/>
      <w:bCs/>
      <w:i/>
      <w:iCs/>
      <w:sz w:val="26"/>
      <w:szCs w:val="26"/>
    </w:rPr>
  </w:style>
  <w:style w:type="paragraph" w:styleId="Ttulo6">
    <w:name w:val="heading 6"/>
    <w:basedOn w:val="Normal"/>
    <w:next w:val="Normal"/>
    <w:qFormat/>
    <w:pPr>
      <w:spacing w:before="240" w:after="60"/>
      <w:outlineLvl w:val="5"/>
    </w:pPr>
    <w:rPr>
      <w:b/>
      <w:bCs/>
      <w:sz w:val="22"/>
      <w:szCs w:val="22"/>
    </w:rPr>
  </w:style>
  <w:style w:type="paragraph" w:styleId="Ttulo7">
    <w:name w:val="heading 7"/>
    <w:basedOn w:val="Normal"/>
    <w:next w:val="Normal"/>
    <w:qFormat/>
    <w:pPr>
      <w:spacing w:before="240" w:after="60"/>
      <w:outlineLvl w:val="6"/>
    </w:pPr>
    <w:rPr>
      <w:sz w:val="24"/>
      <w:szCs w:val="24"/>
    </w:rPr>
  </w:style>
  <w:style w:type="paragraph" w:styleId="Ttulo8">
    <w:name w:val="heading 8"/>
    <w:basedOn w:val="Normal"/>
    <w:next w:val="Normal"/>
    <w:qFormat/>
    <w:pPr>
      <w:spacing w:before="240" w:after="60"/>
      <w:outlineLvl w:val="7"/>
    </w:pPr>
    <w:rPr>
      <w:i/>
      <w:iCs/>
      <w:sz w:val="24"/>
      <w:szCs w:val="24"/>
    </w:rPr>
  </w:style>
  <w:style w:type="paragraph" w:styleId="Ttulo9">
    <w:name w:val="heading 9"/>
    <w:basedOn w:val="Normal"/>
    <w:next w:val="Normal"/>
    <w:qFormat/>
    <w:pPr>
      <w:spacing w:before="240" w:after="60"/>
      <w:outlineLvl w:val="8"/>
    </w:pPr>
    <w:rPr>
      <w:rFonts w:ascii="Arial" w:hAnsi="Arial" w:cs="Arial"/>
      <w:sz w:val="22"/>
      <w:szCs w:val="2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Refdecomentario">
    <w:name w:val="annotation reference"/>
    <w:basedOn w:val="Fuentedeprrafopredeter"/>
    <w:semiHidden/>
    <w:rPr>
      <w:sz w:val="6"/>
    </w:rPr>
  </w:style>
  <w:style w:type="character" w:styleId="Refdenotaalpie">
    <w:name w:val="footnote reference"/>
    <w:basedOn w:val="Fuentedeprrafopredeter"/>
    <w:semiHidden/>
    <w:rPr>
      <w:spacing w:val="-5"/>
      <w:w w:val="130"/>
      <w:position w:val="-4"/>
      <w:vertAlign w:val="superscript"/>
    </w:rPr>
  </w:style>
  <w:style w:type="character" w:styleId="Refdenotaalfinal">
    <w:name w:val="endnote reference"/>
    <w:basedOn w:val="Refdenotaalpie"/>
    <w:semiHidden/>
  </w:style>
  <w:style w:type="paragraph" w:styleId="Textonotapie">
    <w:name w:val="footnote text"/>
    <w:basedOn w:val="Normal"/>
    <w:semiHidden/>
    <w:pPr>
      <w:widowControl w:val="0"/>
      <w:tabs>
        <w:tab w:val="right" w:pos="418"/>
      </w:tabs>
      <w:spacing w:line="210" w:lineRule="exact"/>
      <w:ind w:left="475" w:hanging="475"/>
    </w:pPr>
    <w:rPr>
      <w:spacing w:val="5"/>
      <w:w w:val="104"/>
      <w:sz w:val="17"/>
    </w:rPr>
  </w:style>
  <w:style w:type="paragraph" w:styleId="Textonotaalfinal">
    <w:name w:val="endnote text"/>
    <w:basedOn w:val="Textonotapie"/>
    <w:semiHidden/>
  </w:style>
  <w:style w:type="paragraph" w:styleId="Piedepgina">
    <w:name w:val="footer"/>
    <w:semiHidden/>
    <w:pPr>
      <w:tabs>
        <w:tab w:val="center" w:pos="4320"/>
        <w:tab w:val="right" w:pos="8640"/>
      </w:tabs>
    </w:pPr>
    <w:rPr>
      <w:b/>
      <w:noProof/>
      <w:sz w:val="17"/>
      <w:lang w:val="en-US" w:eastAsia="en-US"/>
    </w:rPr>
  </w:style>
  <w:style w:type="paragraph" w:styleId="Encabezado">
    <w:name w:val="header"/>
    <w:semiHidden/>
    <w:pPr>
      <w:tabs>
        <w:tab w:val="center" w:pos="4320"/>
        <w:tab w:val="right" w:pos="8640"/>
      </w:tabs>
    </w:pPr>
    <w:rPr>
      <w:noProof/>
      <w:sz w:val="17"/>
      <w:lang w:val="en-US" w:eastAsia="en-US"/>
    </w:rPr>
  </w:style>
  <w:style w:type="character" w:styleId="Nmerodelnea">
    <w:name w:val="line number"/>
    <w:basedOn w:val="Fuentedeprrafopredet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Nmerodepgina">
    <w:name w:val="page number"/>
    <w:basedOn w:val="Fuentedeprrafopredeter"/>
    <w:semiHidden/>
  </w:style>
  <w:style w:type="paragraph" w:styleId="Textocomentario">
    <w:name w:val="annotation text"/>
    <w:basedOn w:val="Normal"/>
    <w:semiHidden/>
  </w:style>
  <w:style w:type="paragraph" w:styleId="Textosinformato">
    <w:name w:val="Plain Text"/>
    <w:basedOn w:val="Normal"/>
    <w:semiHidden/>
    <w:pPr>
      <w:suppressAutoHyphens w:val="0"/>
      <w:spacing w:line="240" w:lineRule="auto"/>
    </w:pPr>
    <w:rPr>
      <w:rFonts w:ascii="Courier New" w:hAnsi="Courier New"/>
      <w:noProof/>
      <w:spacing w:val="0"/>
      <w:w w:val="100"/>
      <w:kern w:val="0"/>
    </w:rPr>
  </w:style>
  <w:style w:type="paragraph" w:styleId="Textoindependiente3">
    <w:name w:val="Body Text 3"/>
    <w:basedOn w:val="Normal"/>
    <w:semiHidden/>
    <w:pPr>
      <w:tabs>
        <w:tab w:val="left" w:pos="567"/>
        <w:tab w:val="left" w:pos="992"/>
        <w:tab w:val="left" w:pos="1418"/>
      </w:tabs>
      <w:suppressAutoHyphens w:val="0"/>
    </w:pPr>
    <w:rPr>
      <w:noProof/>
      <w:spacing w:val="0"/>
      <w:w w:val="100"/>
      <w:kern w:val="0"/>
      <w:sz w:val="18"/>
    </w:rPr>
  </w:style>
  <w:style w:type="paragraph" w:styleId="Textoindependiente2">
    <w:name w:val="Body Text 2"/>
    <w:basedOn w:val="Normal"/>
    <w:semiHidden/>
    <w:pPr>
      <w:tabs>
        <w:tab w:val="left" w:pos="567"/>
        <w:tab w:val="left" w:pos="992"/>
        <w:tab w:val="left" w:pos="1418"/>
      </w:tabs>
      <w:suppressAutoHyphens w:val="0"/>
      <w:spacing w:line="240" w:lineRule="auto"/>
      <w:jc w:val="both"/>
    </w:pPr>
    <w:rPr>
      <w:noProof/>
      <w:spacing w:val="0"/>
      <w:w w:val="100"/>
      <w:kern w:val="0"/>
      <w:sz w:val="22"/>
    </w:rPr>
  </w:style>
  <w:style w:type="paragraph" w:styleId="Textodebloque">
    <w:name w:val="Block Text"/>
    <w:basedOn w:val="Normal"/>
    <w:semiHidden/>
    <w:pPr>
      <w:spacing w:after="120"/>
      <w:ind w:left="1440" w:right="1440"/>
    </w:pPr>
  </w:style>
  <w:style w:type="paragraph" w:styleId="Textoindependiente">
    <w:name w:val="Body Text"/>
    <w:basedOn w:val="Normal"/>
    <w:semiHidden/>
    <w:pPr>
      <w:spacing w:after="120"/>
    </w:pPr>
  </w:style>
  <w:style w:type="paragraph" w:styleId="Textoindependienteprimerasangra">
    <w:name w:val="Body Text First Indent"/>
    <w:basedOn w:val="Textoindependiente"/>
    <w:semiHidden/>
    <w:pPr>
      <w:ind w:firstLine="210"/>
    </w:pPr>
  </w:style>
  <w:style w:type="paragraph" w:styleId="Sangradetextonormal">
    <w:name w:val="Body Text Indent"/>
    <w:basedOn w:val="Normal"/>
    <w:semiHidden/>
    <w:pPr>
      <w:spacing w:after="120"/>
      <w:ind w:left="360"/>
    </w:pPr>
  </w:style>
  <w:style w:type="paragraph" w:styleId="Textoindependienteprimerasangra2">
    <w:name w:val="Body Text First Indent 2"/>
    <w:basedOn w:val="Sangradetextonormal"/>
    <w:semiHidden/>
    <w:pPr>
      <w:ind w:firstLine="210"/>
    </w:pPr>
  </w:style>
  <w:style w:type="paragraph" w:styleId="Sangra2detindependiente">
    <w:name w:val="Body Text Indent 2"/>
    <w:basedOn w:val="Normal"/>
    <w:semiHidden/>
    <w:pPr>
      <w:spacing w:after="120" w:line="480" w:lineRule="auto"/>
      <w:ind w:left="360"/>
    </w:pPr>
  </w:style>
  <w:style w:type="paragraph" w:styleId="Sangra3detindependiente">
    <w:name w:val="Body Text Indent 3"/>
    <w:basedOn w:val="Normal"/>
    <w:semiHidden/>
    <w:pPr>
      <w:spacing w:after="120"/>
      <w:ind w:left="360"/>
    </w:pPr>
    <w:rPr>
      <w:sz w:val="16"/>
      <w:szCs w:val="16"/>
    </w:rPr>
  </w:style>
  <w:style w:type="paragraph" w:styleId="Epgrafe">
    <w:name w:val="caption"/>
    <w:basedOn w:val="Normal"/>
    <w:next w:val="Normal"/>
    <w:qFormat/>
    <w:pPr>
      <w:spacing w:before="120" w:after="120"/>
    </w:pPr>
    <w:rPr>
      <w:b/>
      <w:bCs/>
    </w:rPr>
  </w:style>
  <w:style w:type="paragraph" w:styleId="Cierre">
    <w:name w:val="Closing"/>
    <w:basedOn w:val="Normal"/>
    <w:semiHidden/>
    <w:pPr>
      <w:ind w:left="4320"/>
    </w:pPr>
  </w:style>
  <w:style w:type="paragraph" w:styleId="Fecha">
    <w:name w:val="Date"/>
    <w:basedOn w:val="Normal"/>
    <w:next w:val="Normal"/>
    <w:semiHidden/>
  </w:style>
  <w:style w:type="paragraph" w:styleId="Mapadeldocumento">
    <w:name w:val="Document Map"/>
    <w:basedOn w:val="Normal"/>
    <w:semiHidden/>
    <w:pPr>
      <w:shd w:val="clear" w:color="auto" w:fill="000080"/>
    </w:pPr>
    <w:rPr>
      <w:rFonts w:ascii="Tahoma" w:hAnsi="Tahoma" w:cs="Tahoma"/>
    </w:rPr>
  </w:style>
  <w:style w:type="paragraph" w:styleId="Firmadecorreoelectrnico">
    <w:name w:val="E-mail Signature"/>
    <w:basedOn w:val="Normal"/>
    <w:semiHidden/>
  </w:style>
  <w:style w:type="paragraph" w:styleId="Direccinsobre">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Remitedesobre">
    <w:name w:val="envelope return"/>
    <w:basedOn w:val="Normal"/>
    <w:semiHidden/>
    <w:rPr>
      <w:rFonts w:ascii="Arial" w:hAnsi="Arial" w:cs="Arial"/>
    </w:rPr>
  </w:style>
  <w:style w:type="paragraph" w:styleId="DireccinHTML">
    <w:name w:val="HTML Address"/>
    <w:basedOn w:val="Normal"/>
    <w:semiHidden/>
    <w:rPr>
      <w:i/>
      <w:iCs/>
    </w:rPr>
  </w:style>
  <w:style w:type="paragraph" w:styleId="HTMLconformatoprevio">
    <w:name w:val="HTML Preformatted"/>
    <w:basedOn w:val="Normal"/>
    <w:semiHidden/>
    <w:rPr>
      <w:rFonts w:ascii="Courier New" w:hAnsi="Courier New" w:cs="Courier New"/>
    </w:rPr>
  </w:style>
  <w:style w:type="paragraph" w:styleId="ndice1">
    <w:name w:val="index 1"/>
    <w:basedOn w:val="Normal"/>
    <w:next w:val="Normal"/>
    <w:autoRedefine/>
    <w:semiHidden/>
    <w:pPr>
      <w:ind w:left="200" w:hanging="200"/>
    </w:pPr>
  </w:style>
  <w:style w:type="paragraph" w:styleId="ndice2">
    <w:name w:val="index 2"/>
    <w:basedOn w:val="Normal"/>
    <w:next w:val="Normal"/>
    <w:autoRedefine/>
    <w:semiHidden/>
    <w:pPr>
      <w:ind w:left="400" w:hanging="200"/>
    </w:pPr>
  </w:style>
  <w:style w:type="paragraph" w:styleId="ndice3">
    <w:name w:val="index 3"/>
    <w:basedOn w:val="Normal"/>
    <w:next w:val="Normal"/>
    <w:autoRedefine/>
    <w:semiHidden/>
    <w:pPr>
      <w:ind w:left="600" w:hanging="200"/>
    </w:pPr>
  </w:style>
  <w:style w:type="paragraph" w:styleId="ndice4">
    <w:name w:val="index 4"/>
    <w:basedOn w:val="Normal"/>
    <w:next w:val="Normal"/>
    <w:autoRedefine/>
    <w:semiHidden/>
    <w:pPr>
      <w:ind w:left="800" w:hanging="200"/>
    </w:pPr>
  </w:style>
  <w:style w:type="paragraph" w:styleId="ndice5">
    <w:name w:val="index 5"/>
    <w:basedOn w:val="Normal"/>
    <w:next w:val="Normal"/>
    <w:autoRedefine/>
    <w:semiHidden/>
    <w:pPr>
      <w:ind w:left="1000" w:hanging="200"/>
    </w:pPr>
  </w:style>
  <w:style w:type="paragraph" w:styleId="ndice6">
    <w:name w:val="index 6"/>
    <w:basedOn w:val="Normal"/>
    <w:next w:val="Normal"/>
    <w:autoRedefine/>
    <w:semiHidden/>
    <w:pPr>
      <w:ind w:left="1200" w:hanging="200"/>
    </w:pPr>
  </w:style>
  <w:style w:type="paragraph" w:styleId="ndice7">
    <w:name w:val="index 7"/>
    <w:basedOn w:val="Normal"/>
    <w:next w:val="Normal"/>
    <w:autoRedefine/>
    <w:semiHidden/>
    <w:pPr>
      <w:ind w:left="1400" w:hanging="200"/>
    </w:pPr>
  </w:style>
  <w:style w:type="paragraph" w:styleId="ndice8">
    <w:name w:val="index 8"/>
    <w:basedOn w:val="Normal"/>
    <w:next w:val="Normal"/>
    <w:autoRedefine/>
    <w:semiHidden/>
    <w:pPr>
      <w:ind w:left="1600" w:hanging="200"/>
    </w:pPr>
  </w:style>
  <w:style w:type="paragraph" w:styleId="ndice9">
    <w:name w:val="index 9"/>
    <w:basedOn w:val="Normal"/>
    <w:next w:val="Normal"/>
    <w:autoRedefine/>
    <w:semiHidden/>
    <w:pPr>
      <w:ind w:left="1800" w:hanging="200"/>
    </w:pPr>
  </w:style>
  <w:style w:type="paragraph" w:styleId="Ttulodendice">
    <w:name w:val="index heading"/>
    <w:basedOn w:val="Normal"/>
    <w:next w:val="ndice1"/>
    <w:semiHidden/>
    <w:rPr>
      <w:rFonts w:ascii="Arial" w:hAnsi="Arial" w:cs="Arial"/>
      <w:b/>
      <w:bCs/>
    </w:rPr>
  </w:style>
  <w:style w:type="paragraph" w:styleId="Lista">
    <w:name w:val="List"/>
    <w:basedOn w:val="Normal"/>
    <w:semiHidden/>
    <w:pPr>
      <w:ind w:left="360" w:hanging="360"/>
    </w:pPr>
  </w:style>
  <w:style w:type="paragraph" w:styleId="Lista2">
    <w:name w:val="List 2"/>
    <w:basedOn w:val="Normal"/>
    <w:semiHidden/>
    <w:pPr>
      <w:ind w:left="720" w:hanging="360"/>
    </w:pPr>
  </w:style>
  <w:style w:type="paragraph" w:styleId="Lista3">
    <w:name w:val="List 3"/>
    <w:basedOn w:val="Normal"/>
    <w:semiHidden/>
    <w:pPr>
      <w:ind w:left="1080" w:hanging="360"/>
    </w:pPr>
  </w:style>
  <w:style w:type="paragraph" w:styleId="Lista4">
    <w:name w:val="List 4"/>
    <w:basedOn w:val="Normal"/>
    <w:semiHidden/>
    <w:pPr>
      <w:ind w:left="1440" w:hanging="360"/>
    </w:pPr>
  </w:style>
  <w:style w:type="paragraph" w:styleId="Lista5">
    <w:name w:val="List 5"/>
    <w:basedOn w:val="Normal"/>
    <w:semiHidden/>
    <w:pPr>
      <w:ind w:left="1800" w:hanging="360"/>
    </w:pPr>
  </w:style>
  <w:style w:type="paragraph" w:styleId="Listaconvietas">
    <w:name w:val="List Bullet"/>
    <w:basedOn w:val="Normal"/>
    <w:autoRedefine/>
    <w:semiHidden/>
    <w:pPr>
      <w:numPr>
        <w:numId w:val="3"/>
      </w:numPr>
    </w:pPr>
  </w:style>
  <w:style w:type="paragraph" w:styleId="Listaconvietas2">
    <w:name w:val="List Bullet 2"/>
    <w:basedOn w:val="Normal"/>
    <w:autoRedefine/>
    <w:semiHidden/>
    <w:pPr>
      <w:numPr>
        <w:numId w:val="4"/>
      </w:numPr>
    </w:pPr>
  </w:style>
  <w:style w:type="paragraph" w:styleId="Listaconvietas3">
    <w:name w:val="List Bullet 3"/>
    <w:basedOn w:val="Normal"/>
    <w:autoRedefine/>
    <w:semiHidden/>
    <w:pPr>
      <w:numPr>
        <w:numId w:val="5"/>
      </w:numPr>
    </w:pPr>
  </w:style>
  <w:style w:type="paragraph" w:styleId="Listaconvietas4">
    <w:name w:val="List Bullet 4"/>
    <w:basedOn w:val="Normal"/>
    <w:autoRedefine/>
    <w:semiHidden/>
    <w:pPr>
      <w:numPr>
        <w:numId w:val="6"/>
      </w:numPr>
    </w:pPr>
  </w:style>
  <w:style w:type="paragraph" w:styleId="Listaconvietas5">
    <w:name w:val="List Bullet 5"/>
    <w:basedOn w:val="Normal"/>
    <w:autoRedefine/>
    <w:semiHidden/>
    <w:pPr>
      <w:numPr>
        <w:numId w:val="7"/>
      </w:numPr>
    </w:pPr>
  </w:style>
  <w:style w:type="paragraph" w:styleId="Continuarlista">
    <w:name w:val="List Continue"/>
    <w:basedOn w:val="Normal"/>
    <w:semiHidden/>
    <w:pPr>
      <w:spacing w:after="120"/>
      <w:ind w:left="360"/>
    </w:pPr>
  </w:style>
  <w:style w:type="paragraph" w:styleId="Continuarlista2">
    <w:name w:val="List Continue 2"/>
    <w:basedOn w:val="Normal"/>
    <w:semiHidden/>
    <w:pPr>
      <w:spacing w:after="120"/>
      <w:ind w:left="720"/>
    </w:pPr>
  </w:style>
  <w:style w:type="paragraph" w:styleId="Continuarlista3">
    <w:name w:val="List Continue 3"/>
    <w:basedOn w:val="Normal"/>
    <w:semiHidden/>
    <w:pPr>
      <w:spacing w:after="120"/>
      <w:ind w:left="1080"/>
    </w:pPr>
  </w:style>
  <w:style w:type="paragraph" w:styleId="Continuarlista4">
    <w:name w:val="List Continue 4"/>
    <w:basedOn w:val="Normal"/>
    <w:semiHidden/>
    <w:pPr>
      <w:spacing w:after="120"/>
      <w:ind w:left="1440"/>
    </w:pPr>
  </w:style>
  <w:style w:type="paragraph" w:styleId="Continuarlista5">
    <w:name w:val="List Continue 5"/>
    <w:basedOn w:val="Normal"/>
    <w:semiHidden/>
    <w:pPr>
      <w:spacing w:after="120"/>
      <w:ind w:left="1800"/>
    </w:pPr>
  </w:style>
  <w:style w:type="paragraph" w:styleId="Listaconnmeros">
    <w:name w:val="List Number"/>
    <w:basedOn w:val="Normal"/>
    <w:semiHidden/>
    <w:pPr>
      <w:numPr>
        <w:numId w:val="8"/>
      </w:numPr>
    </w:pPr>
  </w:style>
  <w:style w:type="paragraph" w:styleId="Listaconnmeros2">
    <w:name w:val="List Number 2"/>
    <w:basedOn w:val="Normal"/>
    <w:semiHidden/>
    <w:pPr>
      <w:numPr>
        <w:numId w:val="9"/>
      </w:numPr>
    </w:pPr>
  </w:style>
  <w:style w:type="paragraph" w:styleId="Listaconnmeros3">
    <w:name w:val="List Number 3"/>
    <w:basedOn w:val="Normal"/>
    <w:semiHidden/>
    <w:pPr>
      <w:numPr>
        <w:numId w:val="10"/>
      </w:numPr>
    </w:pPr>
  </w:style>
  <w:style w:type="paragraph" w:styleId="Listaconnmeros4">
    <w:name w:val="List Number 4"/>
    <w:basedOn w:val="Normal"/>
    <w:semiHidden/>
    <w:pPr>
      <w:numPr>
        <w:numId w:val="11"/>
      </w:numPr>
    </w:pPr>
  </w:style>
  <w:style w:type="paragraph" w:styleId="Listaconnmeros5">
    <w:name w:val="List Number 5"/>
    <w:basedOn w:val="Normal"/>
    <w:semiHidden/>
    <w:pPr>
      <w:numPr>
        <w:numId w:val="1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uppressAutoHyphens/>
      <w:spacing w:line="240" w:lineRule="exact"/>
    </w:pPr>
    <w:rPr>
      <w:rFonts w:ascii="Courier New" w:hAnsi="Courier New" w:cs="Courier New"/>
      <w:spacing w:val="4"/>
      <w:w w:val="103"/>
      <w:kern w:val="14"/>
      <w:lang w:val="en-US" w:eastAsia="en-US"/>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Pr>
      <w:sz w:val="24"/>
      <w:szCs w:val="24"/>
    </w:rPr>
  </w:style>
  <w:style w:type="paragraph" w:styleId="Sangranormal">
    <w:name w:val="Normal Indent"/>
    <w:basedOn w:val="Normal"/>
    <w:semiHidden/>
    <w:pPr>
      <w:ind w:left="720"/>
    </w:pPr>
  </w:style>
  <w:style w:type="paragraph" w:styleId="Encabezadodenota">
    <w:name w:val="Note Heading"/>
    <w:basedOn w:val="Normal"/>
    <w:next w:val="Normal"/>
    <w:semiHidden/>
  </w:style>
  <w:style w:type="paragraph" w:styleId="Saludo">
    <w:name w:val="Salutation"/>
    <w:basedOn w:val="Normal"/>
    <w:next w:val="Normal"/>
    <w:semiHidden/>
  </w:style>
  <w:style w:type="paragraph" w:styleId="Firma">
    <w:name w:val="Signature"/>
    <w:basedOn w:val="Normal"/>
    <w:semiHidden/>
    <w:pPr>
      <w:ind w:left="4320"/>
    </w:pPr>
  </w:style>
  <w:style w:type="paragraph" w:styleId="Subttulo">
    <w:name w:val="Subtitle"/>
    <w:basedOn w:val="Normal"/>
    <w:qFormat/>
    <w:pPr>
      <w:spacing w:after="60"/>
      <w:jc w:val="center"/>
      <w:outlineLvl w:val="1"/>
    </w:pPr>
    <w:rPr>
      <w:rFonts w:ascii="Arial" w:hAnsi="Arial" w:cs="Arial"/>
      <w:sz w:val="24"/>
      <w:szCs w:val="24"/>
    </w:rPr>
  </w:style>
  <w:style w:type="paragraph" w:styleId="Textoconsangra">
    <w:name w:val="table of authorities"/>
    <w:basedOn w:val="Normal"/>
    <w:next w:val="Normal"/>
    <w:semiHidden/>
    <w:pPr>
      <w:ind w:left="200" w:hanging="200"/>
    </w:pPr>
  </w:style>
  <w:style w:type="paragraph" w:styleId="Tabladeilustraciones">
    <w:name w:val="table of figures"/>
    <w:basedOn w:val="Normal"/>
    <w:next w:val="Normal"/>
    <w:semiHidden/>
    <w:pPr>
      <w:ind w:left="400" w:hanging="400"/>
    </w:pPr>
  </w:style>
  <w:style w:type="paragraph" w:styleId="Ttulo">
    <w:name w:val="Title"/>
    <w:basedOn w:val="Normal"/>
    <w:qFormat/>
    <w:pPr>
      <w:spacing w:before="240" w:after="60"/>
      <w:jc w:val="center"/>
      <w:outlineLvl w:val="0"/>
    </w:pPr>
    <w:rPr>
      <w:rFonts w:ascii="Arial" w:hAnsi="Arial" w:cs="Arial"/>
      <w:b/>
      <w:bCs/>
      <w:kern w:val="28"/>
      <w:sz w:val="32"/>
      <w:szCs w:val="32"/>
    </w:rPr>
  </w:style>
  <w:style w:type="paragraph" w:styleId="Encabezadodelista">
    <w:name w:val="toa heading"/>
    <w:basedOn w:val="Normal"/>
    <w:next w:val="Normal"/>
    <w:semiHidden/>
    <w:pPr>
      <w:spacing w:before="120"/>
    </w:pPr>
    <w:rPr>
      <w:rFonts w:ascii="Arial" w:hAnsi="Arial" w:cs="Arial"/>
      <w:b/>
      <w:bCs/>
      <w:sz w:val="24"/>
      <w:szCs w:val="24"/>
    </w:rPr>
  </w:style>
  <w:style w:type="paragraph" w:styleId="TDC1">
    <w:name w:val="toc 1"/>
    <w:basedOn w:val="Normal"/>
    <w:next w:val="Normal"/>
    <w:autoRedefine/>
    <w:semiHidden/>
  </w:style>
  <w:style w:type="paragraph" w:styleId="TDC2">
    <w:name w:val="toc 2"/>
    <w:basedOn w:val="Normal"/>
    <w:next w:val="Normal"/>
    <w:autoRedefine/>
    <w:semiHidden/>
    <w:pPr>
      <w:ind w:left="200"/>
    </w:pPr>
  </w:style>
  <w:style w:type="paragraph" w:styleId="TDC3">
    <w:name w:val="toc 3"/>
    <w:basedOn w:val="Normal"/>
    <w:next w:val="Normal"/>
    <w:autoRedefine/>
    <w:semiHidden/>
    <w:pPr>
      <w:ind w:left="400"/>
    </w:pPr>
  </w:style>
  <w:style w:type="paragraph" w:styleId="TDC4">
    <w:name w:val="toc 4"/>
    <w:basedOn w:val="Normal"/>
    <w:next w:val="Normal"/>
    <w:autoRedefine/>
    <w:semiHidden/>
    <w:pPr>
      <w:ind w:left="600"/>
    </w:pPr>
  </w:style>
  <w:style w:type="paragraph" w:styleId="TDC5">
    <w:name w:val="toc 5"/>
    <w:basedOn w:val="Normal"/>
    <w:next w:val="Normal"/>
    <w:autoRedefine/>
    <w:semiHidden/>
    <w:pPr>
      <w:ind w:left="800"/>
    </w:pPr>
  </w:style>
  <w:style w:type="paragraph" w:styleId="TDC6">
    <w:name w:val="toc 6"/>
    <w:basedOn w:val="Normal"/>
    <w:next w:val="Normal"/>
    <w:autoRedefine/>
    <w:semiHidden/>
    <w:pPr>
      <w:ind w:left="1000"/>
    </w:pPr>
  </w:style>
  <w:style w:type="paragraph" w:styleId="TDC7">
    <w:name w:val="toc 7"/>
    <w:basedOn w:val="Normal"/>
    <w:next w:val="Normal"/>
    <w:autoRedefine/>
    <w:semiHidden/>
    <w:pPr>
      <w:ind w:left="1200"/>
    </w:pPr>
  </w:style>
  <w:style w:type="paragraph" w:styleId="TDC8">
    <w:name w:val="toc 8"/>
    <w:basedOn w:val="Normal"/>
    <w:next w:val="Normal"/>
    <w:autoRedefine/>
    <w:semiHidden/>
    <w:pPr>
      <w:ind w:left="1400"/>
    </w:pPr>
  </w:style>
  <w:style w:type="paragraph" w:styleId="TDC9">
    <w:name w:val="toc 9"/>
    <w:basedOn w:val="Normal"/>
    <w:next w:val="Normal"/>
    <w:autoRedefine/>
    <w:semiHidden/>
    <w:pPr>
      <w:ind w:left="16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3890</Words>
  <Characters>21399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PROTOCOL AGAINST THE ILLICIT MANUFACTURING AND TRAFFICKING IN FIREARMS, THEIR PARTS AND COMPONENTS AND AMMUNITION, SUPPLEMENTING THE UNITED NATIONS CONVENTION AGAINST TRANSNATIONAL ORGANIZED CRIME</vt:lpstr>
    </vt:vector>
  </TitlesOfParts>
  <Company>United Nations</Company>
  <LinksUpToDate>false</LinksUpToDate>
  <CharactersWithSpaces>25239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AGAINST THE ILLICIT MANUFACTURING AND TRAFFICKING IN FIREARMS, THEIR PARTS AND COMPONENTS AND AMMUNITION, SUPPLEMENTING THE UNITED NATIONS CONVENTION AGAINST TRANSNATIONAL ORGANIZED CRIME</dc:title>
  <dc:subject/>
  <dc:creator>ga ~ f</dc:creator>
  <cp:keywords/>
  <dc:description>final ~ 13 pp</dc:description>
  <cp:lastModifiedBy>Emilio</cp:lastModifiedBy>
  <cp:revision>2</cp:revision>
  <cp:lastPrinted>2001-07-30T12:25:00Z</cp:lastPrinted>
  <dcterms:created xsi:type="dcterms:W3CDTF">2011-04-13T09:56:00Z</dcterms:created>
  <dcterms:modified xsi:type="dcterms:W3CDTF">2011-04-13T09:56:00Z</dcterms:modified>
</cp:coreProperties>
</file>