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83A" w:rsidRPr="00D7083A" w:rsidRDefault="00D7083A" w:rsidP="00D7083A">
      <w:pPr>
        <w:spacing w:after="0" w:line="280" w:lineRule="atLeast"/>
        <w:jc w:val="center"/>
        <w:rPr>
          <w:rFonts w:ascii="Arial" w:eastAsia="Times New Roman" w:hAnsi="Arial" w:cs="Arial"/>
          <w:b/>
          <w:bCs/>
          <w:color w:val="000000"/>
          <w:sz w:val="24"/>
          <w:szCs w:val="24"/>
          <w:lang w:eastAsia="ro-RO"/>
        </w:rPr>
      </w:pPr>
      <w:r w:rsidRPr="00D7083A">
        <w:rPr>
          <w:rFonts w:ascii="Arial" w:eastAsia="Times New Roman" w:hAnsi="Arial" w:cs="Arial"/>
          <w:b/>
          <w:bCs/>
          <w:color w:val="000000"/>
          <w:sz w:val="24"/>
          <w:szCs w:val="24"/>
          <w:bdr w:val="none" w:sz="0" w:space="0" w:color="auto" w:frame="1"/>
          <w:lang w:eastAsia="ro-RO"/>
        </w:rPr>
        <w:t>Las tasas de crímenes de Fall Again</w:t>
      </w:r>
      <w:r w:rsidRPr="00D7083A">
        <w:rPr>
          <w:rFonts w:ascii="Arial" w:eastAsia="Times New Roman" w:hAnsi="Arial" w:cs="Arial"/>
          <w:b/>
          <w:bCs/>
          <w:color w:val="000000"/>
          <w:sz w:val="18"/>
          <w:szCs w:val="18"/>
          <w:lang w:eastAsia="ro-RO"/>
        </w:rPr>
        <w:br/>
      </w:r>
      <w:r w:rsidRPr="00D7083A">
        <w:rPr>
          <w:rFonts w:ascii="Arial" w:eastAsia="Times New Roman" w:hAnsi="Arial" w:cs="Arial"/>
          <w:b/>
          <w:bCs/>
          <w:color w:val="000000"/>
          <w:sz w:val="18"/>
          <w:lang w:eastAsia="ro-RO"/>
        </w:rPr>
        <w:t>De acuerdo con estadísticas preliminares</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05/23/11</w:t>
      </w:r>
    </w:p>
    <w:p w:rsidR="00D7083A" w:rsidRPr="00D7083A" w:rsidRDefault="00D7083A" w:rsidP="00D7083A">
      <w:pPr>
        <w:spacing w:after="0" w:line="240" w:lineRule="atLeast"/>
        <w:rPr>
          <w:rFonts w:ascii="Arial" w:eastAsia="Times New Roman" w:hAnsi="Arial" w:cs="Arial"/>
          <w:color w:val="000000"/>
          <w:sz w:val="18"/>
          <w:szCs w:val="18"/>
          <w:lang w:eastAsia="ro-RO"/>
        </w:rPr>
      </w:pPr>
      <w:r>
        <w:rPr>
          <w:rFonts w:ascii="Arial" w:eastAsia="Times New Roman" w:hAnsi="Arial" w:cs="Arial"/>
          <w:noProof/>
          <w:color w:val="000000"/>
          <w:sz w:val="18"/>
          <w:szCs w:val="18"/>
          <w:lang w:eastAsia="ro-RO"/>
        </w:rPr>
        <w:drawing>
          <wp:inline distT="0" distB="0" distL="0" distR="0">
            <wp:extent cx="2476500" cy="1714500"/>
            <wp:effectExtent l="19050" t="0" r="0" b="0"/>
            <wp:docPr id="1" name="Imagen 1" descr="U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R LOgo"/>
                    <pic:cNvPicPr>
                      <a:picLocks noChangeAspect="1" noChangeArrowheads="1"/>
                    </pic:cNvPicPr>
                  </pic:nvPicPr>
                  <pic:blipFill>
                    <a:blip r:embed="rId5" cstate="print"/>
                    <a:srcRect/>
                    <a:stretch>
                      <a:fillRect/>
                    </a:stretch>
                  </pic:blipFill>
                  <pic:spPr bwMode="auto">
                    <a:xfrm>
                      <a:off x="0" y="0"/>
                      <a:ext cx="2476500" cy="1714500"/>
                    </a:xfrm>
                    <a:prstGeom prst="rect">
                      <a:avLst/>
                    </a:prstGeom>
                    <a:noFill/>
                    <a:ln w="9525">
                      <a:noFill/>
                      <a:miter lim="800000"/>
                      <a:headEnd/>
                      <a:tailEnd/>
                    </a:ln>
                  </pic:spPr>
                </pic:pic>
              </a:graphicData>
            </a:graphic>
          </wp:inline>
        </w:drawing>
      </w:r>
      <w:r w:rsidRPr="00D7083A">
        <w:rPr>
          <w:rFonts w:ascii="Arial" w:eastAsia="Times New Roman" w:hAnsi="Arial" w:cs="Arial"/>
          <w:color w:val="000000"/>
          <w:sz w:val="18"/>
          <w:lang w:eastAsia="ro-RO"/>
        </w:rPr>
        <w:t>Las cifras preliminares del FBI revelan que los niveles de ambos delitos violentos y delitos contra la propiedad en los EE.UU. se redujo en 2010 a partir de datos del año anterior.  </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El 2010 </w:t>
      </w:r>
      <w:hyperlink r:id="rId6" w:history="1">
        <w:r w:rsidRPr="00D7083A">
          <w:rPr>
            <w:rFonts w:ascii="Arial" w:eastAsia="Times New Roman" w:hAnsi="Arial" w:cs="Arial"/>
            <w:i/>
            <w:iCs/>
            <w:color w:val="666666"/>
            <w:sz w:val="18"/>
            <w:u w:val="single"/>
            <w:lang w:eastAsia="ro-RO"/>
          </w:rPr>
          <w:t>Preliminar Anual Uniform Crime Report</w:t>
        </w:r>
      </w:hyperlink>
      <w:r w:rsidRPr="00D7083A">
        <w:rPr>
          <w:rFonts w:ascii="Arial" w:eastAsia="Times New Roman" w:hAnsi="Arial" w:cs="Arial"/>
          <w:color w:val="000000"/>
          <w:sz w:val="18"/>
          <w:lang w:eastAsia="ro-RO"/>
        </w:rPr>
        <w:t> , sólo dio a conocer hoy, muestra una disminución de 5,5 por ciento en el número de denuncias de crímenes violentos en comparación con los datos de 2009.También muestra una disminución de 2.8 por ciento en delitos contra la propiedad informó.</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Este último informe se basa en la información presentada al FBI de 13.007 agencias policiales en todo el país. Los delitos cubiertos son asesinato, violación, robo, asalto agravado, robo, hurto, robo de vehículos de motor, y el incendio.</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b/>
          <w:bCs/>
          <w:color w:val="000000"/>
          <w:sz w:val="18"/>
          <w:lang w:eastAsia="ro-RO"/>
        </w:rPr>
        <w:t>Algunos de los puntos sobresalientes incluyen:</w:t>
      </w:r>
    </w:p>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A nivel nacional, el homicidio disminuyó un 4,4 por ciento, mientras que la violación por la fuerza se redujo un 4,2 por ciento, 9,5 por ciento el robo, y asalto agravado 3,6 por ciento, todo en comparación con 2009 figuras del crimen.</w:t>
      </w:r>
    </w:p>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Geográficamente hablando, el Sur se produjo la mayor disminución de los delitos violentos (7,5 por ciento), seguida de la Centro-Oeste (5,9 por ciento), Occidente (5,8 por ciento) y el Nordeste (0,4 por ciento).</w:t>
      </w:r>
    </w:p>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En cuanto a delitos contra la propiedad, robo de vehículos de motor se redujo un 7,2 por ciento, el hurto, el robo se redujo un 2,8 por ciento, y el robo se redujo un 1,1 por ciento. Incendio intencional, seguido por separado de otros delitos contra la propiedad, cayeron un 8,3 por ciento a nivel nacional.</w:t>
      </w:r>
    </w:p>
    <w:p w:rsidR="00D7083A" w:rsidRPr="00D7083A" w:rsidRDefault="00D7083A" w:rsidP="00D7083A">
      <w:pPr>
        <w:numPr>
          <w:ilvl w:val="0"/>
          <w:numId w:val="1"/>
        </w:numPr>
        <w:spacing w:before="100" w:beforeAutospacing="1" w:after="0" w:line="360" w:lineRule="atLeast"/>
        <w:ind w:left="480"/>
        <w:rPr>
          <w:rFonts w:ascii="Arial" w:eastAsia="Times New Roman" w:hAnsi="Arial" w:cs="Arial"/>
          <w:color w:val="000000"/>
          <w:sz w:val="18"/>
          <w:szCs w:val="18"/>
          <w:lang w:eastAsia="ro-RO"/>
        </w:rPr>
      </w:pPr>
    </w:p>
    <w:tbl>
      <w:tblPr>
        <w:tblpPr w:leftFromText="45" w:rightFromText="45" w:vertAnchor="text" w:tblpXSpec="right" w:tblpYSpec="center"/>
        <w:tblW w:w="3000" w:type="dxa"/>
        <w:tblCellSpacing w:w="15" w:type="dxa"/>
        <w:tblInd w:w="480" w:type="dxa"/>
        <w:tblCellMar>
          <w:top w:w="15" w:type="dxa"/>
          <w:left w:w="15" w:type="dxa"/>
          <w:bottom w:w="15" w:type="dxa"/>
          <w:right w:w="0" w:type="dxa"/>
        </w:tblCellMar>
        <w:tblLook w:val="04A0"/>
      </w:tblPr>
      <w:tblGrid>
        <w:gridCol w:w="126"/>
        <w:gridCol w:w="4530"/>
      </w:tblGrid>
      <w:tr w:rsidR="00D7083A" w:rsidRPr="00D7083A" w:rsidTr="00D7083A">
        <w:trPr>
          <w:tblCellSpacing w:w="15" w:type="dxa"/>
        </w:trPr>
        <w:tc>
          <w:tcPr>
            <w:tcW w:w="0" w:type="auto"/>
            <w:tcMar>
              <w:top w:w="15" w:type="dxa"/>
              <w:left w:w="75" w:type="dxa"/>
              <w:bottom w:w="15" w:type="dxa"/>
              <w:right w:w="0" w:type="dxa"/>
            </w:tcMar>
            <w:vAlign w:val="center"/>
            <w:hideMark/>
          </w:tcPr>
          <w:p w:rsidR="00D7083A" w:rsidRPr="00D7083A" w:rsidRDefault="00D7083A" w:rsidP="00D7083A">
            <w:pPr>
              <w:spacing w:after="0" w:line="240" w:lineRule="auto"/>
              <w:jc w:val="center"/>
              <w:rPr>
                <w:rFonts w:ascii="Times New Roman" w:eastAsia="Times New Roman" w:hAnsi="Times New Roman" w:cs="Times New Roman"/>
                <w:b/>
                <w:bCs/>
                <w:sz w:val="18"/>
                <w:szCs w:val="18"/>
                <w:lang w:eastAsia="ro-RO"/>
              </w:rPr>
            </w:pPr>
          </w:p>
        </w:tc>
        <w:tc>
          <w:tcPr>
            <w:tcW w:w="0" w:type="auto"/>
            <w:vAlign w:val="center"/>
            <w:hideMark/>
          </w:tcPr>
          <w:p w:rsidR="00D7083A" w:rsidRPr="00D7083A" w:rsidRDefault="00D7083A" w:rsidP="00D7083A">
            <w:pPr>
              <w:spacing w:after="0" w:line="240" w:lineRule="auto"/>
              <w:jc w:val="center"/>
              <w:rPr>
                <w:rFonts w:ascii="Times New Roman" w:eastAsia="Times New Roman" w:hAnsi="Times New Roman" w:cs="Times New Roman"/>
                <w:b/>
                <w:bCs/>
                <w:sz w:val="18"/>
                <w:szCs w:val="18"/>
                <w:lang w:eastAsia="ro-RO"/>
              </w:rPr>
            </w:pPr>
            <w:r>
              <w:rPr>
                <w:rFonts w:ascii="Times New Roman" w:eastAsia="Times New Roman" w:hAnsi="Times New Roman" w:cs="Times New Roman"/>
                <w:b/>
                <w:bCs/>
                <w:noProof/>
                <w:sz w:val="18"/>
                <w:szCs w:val="18"/>
                <w:lang w:eastAsia="ro-RO"/>
              </w:rPr>
              <w:drawing>
                <wp:inline distT="0" distB="0" distL="0" distR="0">
                  <wp:extent cx="2819400" cy="3943350"/>
                  <wp:effectExtent l="19050" t="0" r="0" b="0"/>
                  <wp:docPr id="2" name="Imagen 2" descr="Crime in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ime in the U.S."/>
                          <pic:cNvPicPr>
                            <a:picLocks noChangeAspect="1" noChangeArrowheads="1"/>
                          </pic:cNvPicPr>
                        </pic:nvPicPr>
                        <pic:blipFill>
                          <a:blip r:embed="rId7" cstate="print"/>
                          <a:srcRect/>
                          <a:stretch>
                            <a:fillRect/>
                          </a:stretch>
                        </pic:blipFill>
                        <pic:spPr bwMode="auto">
                          <a:xfrm>
                            <a:off x="0" y="0"/>
                            <a:ext cx="2819400" cy="3943350"/>
                          </a:xfrm>
                          <a:prstGeom prst="rect">
                            <a:avLst/>
                          </a:prstGeom>
                          <a:noFill/>
                          <a:ln w="9525">
                            <a:noFill/>
                            <a:miter lim="800000"/>
                            <a:headEnd/>
                            <a:tailEnd/>
                          </a:ln>
                        </pic:spPr>
                      </pic:pic>
                    </a:graphicData>
                  </a:graphic>
                </wp:inline>
              </w:drawing>
            </w:r>
          </w:p>
        </w:tc>
      </w:tr>
    </w:tbl>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Todas las regiones del país experimentaron descensos generales en delitos contra la propiedad durante el año 2010 a partir de 2009 los tipos: por un 3,8 por ciento en el Sur, un 2,7 por ciento en el Medio Oeste, un 2,5 por ciento en el Oeste, y 0,5 por ciento en el noreste.</w:t>
      </w:r>
    </w:p>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Todos los grupos de población de la ciudad observaron disminuciones en los delitos violentos.</w:t>
      </w:r>
    </w:p>
    <w:p w:rsidR="00D7083A" w:rsidRPr="00D7083A" w:rsidRDefault="00D7083A" w:rsidP="00D7083A">
      <w:pPr>
        <w:numPr>
          <w:ilvl w:val="0"/>
          <w:numId w:val="1"/>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Las ciudades con poblaciones de menos de 10.000 se apreció un descenso significativo en el asesinato-una disminución de 25.2 por ciento.</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b/>
          <w:bCs/>
          <w:color w:val="000000"/>
          <w:sz w:val="18"/>
          <w:lang w:eastAsia="ro-RO"/>
        </w:rPr>
        <w:t>Hubo algunos incrementos específicos arriba:</w:t>
      </w:r>
    </w:p>
    <w:p w:rsidR="00D7083A" w:rsidRPr="00D7083A" w:rsidRDefault="00D7083A" w:rsidP="00D7083A">
      <w:pPr>
        <w:numPr>
          <w:ilvl w:val="0"/>
          <w:numId w:val="2"/>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El Nordeste se observó un aumento en algunas categorías de crímenes violentos a partir de 2009 las cifras de asesinato fue un 8,3 por ciento, la violación por la fuerza hasta un 1,4 por ciento, asalto agravado y un 0,7 por ciento.</w:t>
      </w:r>
    </w:p>
    <w:p w:rsidR="00D7083A" w:rsidRPr="00D7083A" w:rsidRDefault="00D7083A" w:rsidP="00D7083A">
      <w:pPr>
        <w:numPr>
          <w:ilvl w:val="0"/>
          <w:numId w:val="2"/>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Las ciudades con poblaciones de entre 250.000 y 499.999 se registró un aumento del 3,0 por ciento en el asesinato, mientras que las ciudades con poblaciones de 500.000 a 999.999 experimentó un aumento del 1,9 por ciento en violación forzada, y las ciudades entre 25.000 y 49.999 se registró un aumento del 1,3 por ciento en el robo.</w:t>
      </w:r>
    </w:p>
    <w:p w:rsidR="00D7083A" w:rsidRPr="00D7083A" w:rsidRDefault="00D7083A" w:rsidP="00D7083A">
      <w:pPr>
        <w:numPr>
          <w:ilvl w:val="0"/>
          <w:numId w:val="2"/>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El noreste también se registró un aumento de robo-un 3,5 por ciento.</w:t>
      </w:r>
    </w:p>
    <w:p w:rsidR="00D7083A" w:rsidRPr="00D7083A" w:rsidRDefault="00D7083A" w:rsidP="00D7083A">
      <w:pPr>
        <w:numPr>
          <w:ilvl w:val="0"/>
          <w:numId w:val="2"/>
        </w:numPr>
        <w:spacing w:beforeAutospacing="1" w:after="0" w:line="360" w:lineRule="atLeast"/>
        <w:ind w:left="480"/>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los condados no metropolitanos, un ligero aumento en robos (1,2 por ciento) y hurto-robo (3,2 por ciento).</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También está disponible en el informe preliminar son las tablas que incluyen el número de delitos denunciados por las ciudades-organizado por el estado con una población de más de 100.000. Estas tablas incluyen los totales preliminares de los delitos conocidos por la policía para las agencias que nos ha proporcionado con 12 meses de datos completa en 2009 y 2010.</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Como siempre, advertimos en contra de sacar conclusiones a partir de los datos de este informe haciendo una comparación directa entre las ciudades. evaluaciones válidas son posibles </w:t>
      </w:r>
      <w:r w:rsidRPr="00D7083A">
        <w:rPr>
          <w:rFonts w:ascii="Arial" w:eastAsia="Times New Roman" w:hAnsi="Arial" w:cs="Arial"/>
          <w:b/>
          <w:bCs/>
          <w:color w:val="000000"/>
          <w:sz w:val="18"/>
          <w:lang w:eastAsia="ro-RO"/>
        </w:rPr>
        <w:t>sólo</w:t>
      </w:r>
      <w:r w:rsidRPr="00D7083A">
        <w:rPr>
          <w:rFonts w:ascii="Arial" w:eastAsia="Times New Roman" w:hAnsi="Arial" w:cs="Arial"/>
          <w:color w:val="000000"/>
          <w:sz w:val="18"/>
          <w:lang w:eastAsia="ro-RO"/>
        </w:rPr>
        <w:t> con un cuidadoso estudio y análisis de la gama de condiciones únicas que afectan a cada jurisdicción de la policía local.</w:t>
      </w:r>
    </w:p>
    <w:p w:rsidR="00D7083A" w:rsidRPr="00D7083A" w:rsidRDefault="00D7083A" w:rsidP="00D7083A">
      <w:pPr>
        <w:spacing w:after="0" w:line="240" w:lineRule="atLeast"/>
        <w:rPr>
          <w:rFonts w:ascii="Arial" w:eastAsia="Times New Roman" w:hAnsi="Arial" w:cs="Arial"/>
          <w:color w:val="000000"/>
          <w:sz w:val="18"/>
          <w:szCs w:val="18"/>
          <w:lang w:eastAsia="ro-RO"/>
        </w:rPr>
      </w:pPr>
      <w:r w:rsidRPr="00D7083A">
        <w:rPr>
          <w:rFonts w:ascii="Arial" w:eastAsia="Times New Roman" w:hAnsi="Arial" w:cs="Arial"/>
          <w:color w:val="000000"/>
          <w:sz w:val="18"/>
          <w:lang w:eastAsia="ro-RO"/>
        </w:rPr>
        <w:t>cifras completas para el 2010 será lanzado este otoño en el pleno del </w:t>
      </w:r>
      <w:r w:rsidRPr="00D7083A">
        <w:rPr>
          <w:rFonts w:ascii="Arial" w:eastAsia="Times New Roman" w:hAnsi="Arial" w:cs="Arial"/>
          <w:i/>
          <w:iCs/>
          <w:color w:val="000000"/>
          <w:sz w:val="18"/>
          <w:lang w:eastAsia="ro-RO"/>
        </w:rPr>
        <w:t>Delito en los Estados Unidos</w:t>
      </w:r>
      <w:r w:rsidRPr="00D7083A">
        <w:rPr>
          <w:rFonts w:ascii="Arial" w:eastAsia="Times New Roman" w:hAnsi="Arial" w:cs="Arial"/>
          <w:color w:val="000000"/>
          <w:sz w:val="18"/>
          <w:lang w:eastAsia="ro-RO"/>
        </w:rPr>
        <w:t>informe. </w:t>
      </w:r>
    </w:p>
    <w:p w:rsidR="00017F21" w:rsidRDefault="00017F21"/>
    <w:sectPr w:rsidR="00017F21" w:rsidSect="00017F2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13F7E"/>
    <w:multiLevelType w:val="multilevel"/>
    <w:tmpl w:val="124EB7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4F1EAA"/>
    <w:multiLevelType w:val="multilevel"/>
    <w:tmpl w:val="10DE5B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7083A"/>
    <w:rsid w:val="0000204D"/>
    <w:rsid w:val="00003F63"/>
    <w:rsid w:val="00006FB8"/>
    <w:rsid w:val="00011480"/>
    <w:rsid w:val="00013212"/>
    <w:rsid w:val="00017F21"/>
    <w:rsid w:val="00021E10"/>
    <w:rsid w:val="00022A4A"/>
    <w:rsid w:val="00025658"/>
    <w:rsid w:val="00042110"/>
    <w:rsid w:val="00065A6C"/>
    <w:rsid w:val="000674FF"/>
    <w:rsid w:val="00067D05"/>
    <w:rsid w:val="00071A2C"/>
    <w:rsid w:val="00071F7A"/>
    <w:rsid w:val="000746A6"/>
    <w:rsid w:val="00081900"/>
    <w:rsid w:val="00081BE8"/>
    <w:rsid w:val="000938D0"/>
    <w:rsid w:val="00096D00"/>
    <w:rsid w:val="000A0AD5"/>
    <w:rsid w:val="000A1C3C"/>
    <w:rsid w:val="000C2492"/>
    <w:rsid w:val="000C7E49"/>
    <w:rsid w:val="000D2B72"/>
    <w:rsid w:val="000D7007"/>
    <w:rsid w:val="000E1AB9"/>
    <w:rsid w:val="000F6454"/>
    <w:rsid w:val="00100DC3"/>
    <w:rsid w:val="00103C28"/>
    <w:rsid w:val="001106AD"/>
    <w:rsid w:val="00116167"/>
    <w:rsid w:val="00122A30"/>
    <w:rsid w:val="0014115A"/>
    <w:rsid w:val="00155CBD"/>
    <w:rsid w:val="00160858"/>
    <w:rsid w:val="001704B9"/>
    <w:rsid w:val="001743A1"/>
    <w:rsid w:val="00190724"/>
    <w:rsid w:val="00192BC4"/>
    <w:rsid w:val="00196E7D"/>
    <w:rsid w:val="001A69D4"/>
    <w:rsid w:val="001B3D2E"/>
    <w:rsid w:val="001C59F3"/>
    <w:rsid w:val="001C614F"/>
    <w:rsid w:val="001D3D6D"/>
    <w:rsid w:val="001D5775"/>
    <w:rsid w:val="001D5C46"/>
    <w:rsid w:val="001D655E"/>
    <w:rsid w:val="001E0915"/>
    <w:rsid w:val="001E15C6"/>
    <w:rsid w:val="001E5B15"/>
    <w:rsid w:val="001E677C"/>
    <w:rsid w:val="002008BA"/>
    <w:rsid w:val="00200B17"/>
    <w:rsid w:val="00200BA7"/>
    <w:rsid w:val="002031D9"/>
    <w:rsid w:val="00207AB2"/>
    <w:rsid w:val="00207DCC"/>
    <w:rsid w:val="002118FE"/>
    <w:rsid w:val="0021514E"/>
    <w:rsid w:val="00217F1E"/>
    <w:rsid w:val="002200EA"/>
    <w:rsid w:val="002336EB"/>
    <w:rsid w:val="0024422D"/>
    <w:rsid w:val="00252CE3"/>
    <w:rsid w:val="002553C7"/>
    <w:rsid w:val="00256F46"/>
    <w:rsid w:val="00263894"/>
    <w:rsid w:val="002659A4"/>
    <w:rsid w:val="00266C53"/>
    <w:rsid w:val="002701C5"/>
    <w:rsid w:val="00281445"/>
    <w:rsid w:val="00286E47"/>
    <w:rsid w:val="002876A6"/>
    <w:rsid w:val="002A1A81"/>
    <w:rsid w:val="002A51DC"/>
    <w:rsid w:val="002B3F91"/>
    <w:rsid w:val="002D089B"/>
    <w:rsid w:val="002E4A4D"/>
    <w:rsid w:val="002E6C05"/>
    <w:rsid w:val="002E757F"/>
    <w:rsid w:val="002F2A31"/>
    <w:rsid w:val="002F4D61"/>
    <w:rsid w:val="00312790"/>
    <w:rsid w:val="00312C80"/>
    <w:rsid w:val="00322AD5"/>
    <w:rsid w:val="00326B57"/>
    <w:rsid w:val="00346655"/>
    <w:rsid w:val="00356E49"/>
    <w:rsid w:val="00357DFD"/>
    <w:rsid w:val="0037601D"/>
    <w:rsid w:val="0037683C"/>
    <w:rsid w:val="0038426F"/>
    <w:rsid w:val="00385AFA"/>
    <w:rsid w:val="00395DC5"/>
    <w:rsid w:val="003A4714"/>
    <w:rsid w:val="003A4B2A"/>
    <w:rsid w:val="003A4D26"/>
    <w:rsid w:val="003A5FF8"/>
    <w:rsid w:val="003B3F92"/>
    <w:rsid w:val="003C08CD"/>
    <w:rsid w:val="003C7743"/>
    <w:rsid w:val="003D0353"/>
    <w:rsid w:val="003D58A6"/>
    <w:rsid w:val="003D5A56"/>
    <w:rsid w:val="003E160C"/>
    <w:rsid w:val="003E3F65"/>
    <w:rsid w:val="003F46FA"/>
    <w:rsid w:val="00400426"/>
    <w:rsid w:val="00406EAE"/>
    <w:rsid w:val="00407C50"/>
    <w:rsid w:val="00411F06"/>
    <w:rsid w:val="00417523"/>
    <w:rsid w:val="004253FB"/>
    <w:rsid w:val="0043081B"/>
    <w:rsid w:val="00442E0E"/>
    <w:rsid w:val="004478FF"/>
    <w:rsid w:val="00453BE5"/>
    <w:rsid w:val="004541FB"/>
    <w:rsid w:val="00454C9A"/>
    <w:rsid w:val="00456FC0"/>
    <w:rsid w:val="00457C32"/>
    <w:rsid w:val="00461D38"/>
    <w:rsid w:val="00464B95"/>
    <w:rsid w:val="00467478"/>
    <w:rsid w:val="00470FE4"/>
    <w:rsid w:val="00473DEC"/>
    <w:rsid w:val="00474CB4"/>
    <w:rsid w:val="00475290"/>
    <w:rsid w:val="00484575"/>
    <w:rsid w:val="004847E1"/>
    <w:rsid w:val="004957C4"/>
    <w:rsid w:val="004963C9"/>
    <w:rsid w:val="004B03FC"/>
    <w:rsid w:val="004B41D5"/>
    <w:rsid w:val="004B704A"/>
    <w:rsid w:val="004D1A32"/>
    <w:rsid w:val="004E592D"/>
    <w:rsid w:val="004F3A92"/>
    <w:rsid w:val="004F7385"/>
    <w:rsid w:val="005001C5"/>
    <w:rsid w:val="0050557D"/>
    <w:rsid w:val="00512083"/>
    <w:rsid w:val="00513120"/>
    <w:rsid w:val="00513F23"/>
    <w:rsid w:val="00533B8C"/>
    <w:rsid w:val="00564C2D"/>
    <w:rsid w:val="00565202"/>
    <w:rsid w:val="00567AC4"/>
    <w:rsid w:val="0057201D"/>
    <w:rsid w:val="00594FB5"/>
    <w:rsid w:val="00595686"/>
    <w:rsid w:val="005A299B"/>
    <w:rsid w:val="005C0AA8"/>
    <w:rsid w:val="005D44F7"/>
    <w:rsid w:val="005D78B2"/>
    <w:rsid w:val="005E1403"/>
    <w:rsid w:val="005E154B"/>
    <w:rsid w:val="005E27DA"/>
    <w:rsid w:val="0060112D"/>
    <w:rsid w:val="006038A8"/>
    <w:rsid w:val="006069EC"/>
    <w:rsid w:val="00616C5B"/>
    <w:rsid w:val="0063048C"/>
    <w:rsid w:val="00630B99"/>
    <w:rsid w:val="0063355F"/>
    <w:rsid w:val="006344C3"/>
    <w:rsid w:val="0063561F"/>
    <w:rsid w:val="00636F2E"/>
    <w:rsid w:val="00644166"/>
    <w:rsid w:val="00646B55"/>
    <w:rsid w:val="00651F2B"/>
    <w:rsid w:val="006526FF"/>
    <w:rsid w:val="006545BD"/>
    <w:rsid w:val="00660FBC"/>
    <w:rsid w:val="00663A9D"/>
    <w:rsid w:val="00665911"/>
    <w:rsid w:val="00667707"/>
    <w:rsid w:val="00673BF9"/>
    <w:rsid w:val="00682045"/>
    <w:rsid w:val="0068309A"/>
    <w:rsid w:val="00684484"/>
    <w:rsid w:val="00690B4B"/>
    <w:rsid w:val="00692B0A"/>
    <w:rsid w:val="00692EAF"/>
    <w:rsid w:val="006972C2"/>
    <w:rsid w:val="006A235C"/>
    <w:rsid w:val="006A2FB5"/>
    <w:rsid w:val="006B193A"/>
    <w:rsid w:val="006C054C"/>
    <w:rsid w:val="006C267B"/>
    <w:rsid w:val="006C314E"/>
    <w:rsid w:val="006D33E6"/>
    <w:rsid w:val="006D36C6"/>
    <w:rsid w:val="006D3A1C"/>
    <w:rsid w:val="006E3FE4"/>
    <w:rsid w:val="006E4435"/>
    <w:rsid w:val="006E6BE5"/>
    <w:rsid w:val="006F1AF2"/>
    <w:rsid w:val="006F24BE"/>
    <w:rsid w:val="006F28C6"/>
    <w:rsid w:val="00716796"/>
    <w:rsid w:val="00720FC7"/>
    <w:rsid w:val="007229B7"/>
    <w:rsid w:val="00745C02"/>
    <w:rsid w:val="00755472"/>
    <w:rsid w:val="0075765F"/>
    <w:rsid w:val="00763DCE"/>
    <w:rsid w:val="00772B32"/>
    <w:rsid w:val="00793D62"/>
    <w:rsid w:val="007A1732"/>
    <w:rsid w:val="007A1A29"/>
    <w:rsid w:val="007A489D"/>
    <w:rsid w:val="007B4214"/>
    <w:rsid w:val="007B54BC"/>
    <w:rsid w:val="007B6FEB"/>
    <w:rsid w:val="007C176C"/>
    <w:rsid w:val="007C36A1"/>
    <w:rsid w:val="007D1A4A"/>
    <w:rsid w:val="007E6CF7"/>
    <w:rsid w:val="00804CDB"/>
    <w:rsid w:val="00805808"/>
    <w:rsid w:val="00806999"/>
    <w:rsid w:val="00807DD4"/>
    <w:rsid w:val="0081554D"/>
    <w:rsid w:val="00824520"/>
    <w:rsid w:val="00841086"/>
    <w:rsid w:val="00843EEF"/>
    <w:rsid w:val="0084406E"/>
    <w:rsid w:val="00856AE8"/>
    <w:rsid w:val="008720FE"/>
    <w:rsid w:val="00876817"/>
    <w:rsid w:val="0087726C"/>
    <w:rsid w:val="00880A0A"/>
    <w:rsid w:val="00891DB3"/>
    <w:rsid w:val="008A03D5"/>
    <w:rsid w:val="008A3F92"/>
    <w:rsid w:val="008B3F77"/>
    <w:rsid w:val="008C51BE"/>
    <w:rsid w:val="008C6DD2"/>
    <w:rsid w:val="008D3976"/>
    <w:rsid w:val="008E4F2A"/>
    <w:rsid w:val="009003B7"/>
    <w:rsid w:val="00900D83"/>
    <w:rsid w:val="00901C66"/>
    <w:rsid w:val="009031F2"/>
    <w:rsid w:val="0091122F"/>
    <w:rsid w:val="00913046"/>
    <w:rsid w:val="00913203"/>
    <w:rsid w:val="00922885"/>
    <w:rsid w:val="009361EC"/>
    <w:rsid w:val="0095587B"/>
    <w:rsid w:val="00956496"/>
    <w:rsid w:val="0096611E"/>
    <w:rsid w:val="00980B58"/>
    <w:rsid w:val="009B042B"/>
    <w:rsid w:val="009B1C40"/>
    <w:rsid w:val="009B5EA6"/>
    <w:rsid w:val="009C448F"/>
    <w:rsid w:val="009D1F9A"/>
    <w:rsid w:val="00A003F9"/>
    <w:rsid w:val="00A01AA3"/>
    <w:rsid w:val="00A07410"/>
    <w:rsid w:val="00A2052D"/>
    <w:rsid w:val="00A217DD"/>
    <w:rsid w:val="00A31844"/>
    <w:rsid w:val="00A405EB"/>
    <w:rsid w:val="00A41F9D"/>
    <w:rsid w:val="00A42034"/>
    <w:rsid w:val="00A42515"/>
    <w:rsid w:val="00A53414"/>
    <w:rsid w:val="00A56C1C"/>
    <w:rsid w:val="00A5751A"/>
    <w:rsid w:val="00A63A22"/>
    <w:rsid w:val="00A66544"/>
    <w:rsid w:val="00A75DBD"/>
    <w:rsid w:val="00A81248"/>
    <w:rsid w:val="00A830EC"/>
    <w:rsid w:val="00A865CB"/>
    <w:rsid w:val="00AA360A"/>
    <w:rsid w:val="00AB2438"/>
    <w:rsid w:val="00AB3B50"/>
    <w:rsid w:val="00AC58E6"/>
    <w:rsid w:val="00AD671F"/>
    <w:rsid w:val="00AF38B7"/>
    <w:rsid w:val="00AF4B47"/>
    <w:rsid w:val="00AF4CC0"/>
    <w:rsid w:val="00B03002"/>
    <w:rsid w:val="00B13AA4"/>
    <w:rsid w:val="00B21341"/>
    <w:rsid w:val="00B24E8B"/>
    <w:rsid w:val="00B35333"/>
    <w:rsid w:val="00B35DA1"/>
    <w:rsid w:val="00B53ED2"/>
    <w:rsid w:val="00B615DE"/>
    <w:rsid w:val="00B61EB8"/>
    <w:rsid w:val="00B63DB3"/>
    <w:rsid w:val="00B65F28"/>
    <w:rsid w:val="00B72109"/>
    <w:rsid w:val="00B86BEC"/>
    <w:rsid w:val="00B87218"/>
    <w:rsid w:val="00B921C4"/>
    <w:rsid w:val="00B9739A"/>
    <w:rsid w:val="00B97515"/>
    <w:rsid w:val="00BA38DC"/>
    <w:rsid w:val="00BA431D"/>
    <w:rsid w:val="00BB096A"/>
    <w:rsid w:val="00BB7DF9"/>
    <w:rsid w:val="00BC0B3C"/>
    <w:rsid w:val="00BC7191"/>
    <w:rsid w:val="00BD0E3C"/>
    <w:rsid w:val="00BE488C"/>
    <w:rsid w:val="00BE521C"/>
    <w:rsid w:val="00BE5F4A"/>
    <w:rsid w:val="00BF0C0E"/>
    <w:rsid w:val="00BF135E"/>
    <w:rsid w:val="00BF767C"/>
    <w:rsid w:val="00C02FA9"/>
    <w:rsid w:val="00C039C9"/>
    <w:rsid w:val="00C05F86"/>
    <w:rsid w:val="00C20E6B"/>
    <w:rsid w:val="00C27B30"/>
    <w:rsid w:val="00C30F70"/>
    <w:rsid w:val="00C32009"/>
    <w:rsid w:val="00C410F1"/>
    <w:rsid w:val="00C452AA"/>
    <w:rsid w:val="00C52321"/>
    <w:rsid w:val="00C6356F"/>
    <w:rsid w:val="00C67D9F"/>
    <w:rsid w:val="00C87EDF"/>
    <w:rsid w:val="00C947AA"/>
    <w:rsid w:val="00CB1E0B"/>
    <w:rsid w:val="00CB2A33"/>
    <w:rsid w:val="00CB3275"/>
    <w:rsid w:val="00CB4AAB"/>
    <w:rsid w:val="00CC6A4E"/>
    <w:rsid w:val="00CC73AB"/>
    <w:rsid w:val="00CD26A8"/>
    <w:rsid w:val="00D02E97"/>
    <w:rsid w:val="00D033A0"/>
    <w:rsid w:val="00D04D92"/>
    <w:rsid w:val="00D101F9"/>
    <w:rsid w:val="00D11E91"/>
    <w:rsid w:val="00D13CAC"/>
    <w:rsid w:val="00D14231"/>
    <w:rsid w:val="00D14CC7"/>
    <w:rsid w:val="00D31357"/>
    <w:rsid w:val="00D313AF"/>
    <w:rsid w:val="00D31FAA"/>
    <w:rsid w:val="00D34DEF"/>
    <w:rsid w:val="00D36FB2"/>
    <w:rsid w:val="00D44F96"/>
    <w:rsid w:val="00D46C94"/>
    <w:rsid w:val="00D50956"/>
    <w:rsid w:val="00D512A1"/>
    <w:rsid w:val="00D566FE"/>
    <w:rsid w:val="00D7083A"/>
    <w:rsid w:val="00D72955"/>
    <w:rsid w:val="00D731AB"/>
    <w:rsid w:val="00D739FC"/>
    <w:rsid w:val="00D73F10"/>
    <w:rsid w:val="00D77132"/>
    <w:rsid w:val="00D80A96"/>
    <w:rsid w:val="00D81721"/>
    <w:rsid w:val="00D82A3D"/>
    <w:rsid w:val="00D83167"/>
    <w:rsid w:val="00D8741B"/>
    <w:rsid w:val="00D94405"/>
    <w:rsid w:val="00D94F69"/>
    <w:rsid w:val="00DA0694"/>
    <w:rsid w:val="00DB26C6"/>
    <w:rsid w:val="00DB3B6C"/>
    <w:rsid w:val="00DB43BD"/>
    <w:rsid w:val="00DB7EDD"/>
    <w:rsid w:val="00DC58A8"/>
    <w:rsid w:val="00DC7192"/>
    <w:rsid w:val="00DD0639"/>
    <w:rsid w:val="00DD4FB5"/>
    <w:rsid w:val="00DE74F9"/>
    <w:rsid w:val="00DF014F"/>
    <w:rsid w:val="00DF2693"/>
    <w:rsid w:val="00E04F99"/>
    <w:rsid w:val="00E14826"/>
    <w:rsid w:val="00E37811"/>
    <w:rsid w:val="00E436A4"/>
    <w:rsid w:val="00E45621"/>
    <w:rsid w:val="00E46033"/>
    <w:rsid w:val="00E605B3"/>
    <w:rsid w:val="00E676C0"/>
    <w:rsid w:val="00E77C33"/>
    <w:rsid w:val="00E8140B"/>
    <w:rsid w:val="00E83090"/>
    <w:rsid w:val="00E91D57"/>
    <w:rsid w:val="00E96091"/>
    <w:rsid w:val="00EA17DA"/>
    <w:rsid w:val="00EB5836"/>
    <w:rsid w:val="00EC64AA"/>
    <w:rsid w:val="00ED17CB"/>
    <w:rsid w:val="00ED2717"/>
    <w:rsid w:val="00EE5A0E"/>
    <w:rsid w:val="00EF57D8"/>
    <w:rsid w:val="00F00999"/>
    <w:rsid w:val="00F02077"/>
    <w:rsid w:val="00F02A7A"/>
    <w:rsid w:val="00F141C9"/>
    <w:rsid w:val="00F4053F"/>
    <w:rsid w:val="00F412A4"/>
    <w:rsid w:val="00F4328C"/>
    <w:rsid w:val="00F43DA5"/>
    <w:rsid w:val="00F75AE1"/>
    <w:rsid w:val="00F912E6"/>
    <w:rsid w:val="00F95262"/>
    <w:rsid w:val="00FA142C"/>
    <w:rsid w:val="00FA7E79"/>
    <w:rsid w:val="00FB0E49"/>
    <w:rsid w:val="00FB23A5"/>
    <w:rsid w:val="00FC0E63"/>
    <w:rsid w:val="00FC5ED7"/>
    <w:rsid w:val="00FD076E"/>
    <w:rsid w:val="00FD40E6"/>
    <w:rsid w:val="00FF598D"/>
    <w:rsid w:val="00FF6E9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F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raphicboxheader">
    <w:name w:val="graphicboxheader"/>
    <w:basedOn w:val="Normal"/>
    <w:rsid w:val="00D7083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blackgraphtx">
    <w:name w:val="blackgraphtx"/>
    <w:basedOn w:val="Fuentedeprrafopredeter"/>
    <w:rsid w:val="00D7083A"/>
  </w:style>
  <w:style w:type="paragraph" w:styleId="NormalWeb">
    <w:name w:val="Normal (Web)"/>
    <w:basedOn w:val="Normal"/>
    <w:uiPriority w:val="99"/>
    <w:semiHidden/>
    <w:unhideWhenUsed/>
    <w:rsid w:val="00D7083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apple-converted-space">
    <w:name w:val="apple-converted-space"/>
    <w:basedOn w:val="Fuentedeprrafopredeter"/>
    <w:rsid w:val="00D7083A"/>
  </w:style>
  <w:style w:type="character" w:styleId="Hipervnculo">
    <w:name w:val="Hyperlink"/>
    <w:basedOn w:val="Fuentedeprrafopredeter"/>
    <w:uiPriority w:val="99"/>
    <w:semiHidden/>
    <w:unhideWhenUsed/>
    <w:rsid w:val="00D7083A"/>
    <w:rPr>
      <w:color w:val="0000FF"/>
      <w:u w:val="single"/>
    </w:rPr>
  </w:style>
  <w:style w:type="paragraph" w:styleId="Textodeglobo">
    <w:name w:val="Balloon Text"/>
    <w:basedOn w:val="Normal"/>
    <w:link w:val="TextodegloboCar"/>
    <w:uiPriority w:val="99"/>
    <w:semiHidden/>
    <w:unhideWhenUsed/>
    <w:rsid w:val="00D7083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708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710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bi.gov/about-us/cjis/ucr/crime-in-the-u.s/2010/preliminary-annual-ucr-jan-dec-201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557</Words>
  <Characters>3234</Characters>
  <Application>Microsoft Office Word</Application>
  <DocSecurity>0</DocSecurity>
  <Lines>26</Lines>
  <Paragraphs>7</Paragraphs>
  <ScaleCrop>false</ScaleCrop>
  <Company/>
  <LinksUpToDate>false</LinksUpToDate>
  <CharactersWithSpaces>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stefana</dc:creator>
  <cp:lastModifiedBy>stefana</cp:lastModifiedBy>
  <cp:revision>1</cp:revision>
  <dcterms:created xsi:type="dcterms:W3CDTF">2011-06-03T14:34:00Z</dcterms:created>
  <dcterms:modified xsi:type="dcterms:W3CDTF">2011-06-03T14:36:00Z</dcterms:modified>
</cp:coreProperties>
</file>